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jc w:val="right"/>
        <w:keepLines w:val="0"/>
        <w:keepNext w:val="0"/>
        <w:pageBreakBefore w:val="0"/>
        <w:spacing w:after="157"/>
        <w:widowControl w:val="off"/>
        <w:rPr>
          <w:rFonts w:ascii="宋体" w:hAnsi="宋体"/>
          <w:b/>
          <w:bCs/>
          <w:color w:val="000000"/>
          <w:sz w:val="22"/>
          <w:szCs w:val="16"/>
          <w:highlight w:val="none"/>
          <w:lang w:val="en-US" w:eastAsia="zh-CN"/>
        </w:rPr>
      </w:pPr>
      <w:r>
        <w:rPr>
          <w:rFonts w:hint="eastAsia" w:ascii="宋体" w:hAnsi="宋体"/>
          <w:b/>
          <w:bCs/>
          <w:color w:val="000000"/>
          <w:sz w:val="22"/>
          <w:szCs w:val="16"/>
          <w:highlight w:val="none"/>
        </w:rPr>
        <w:t xml:space="preserve">编号：</w:t>
      </w:r>
      <w:r>
        <w:rPr>
          <w:rFonts w:hint="eastAsia" w:ascii="宋体" w:hAnsi="宋体"/>
          <w:b/>
          <w:bCs/>
          <w:color w:val="000000"/>
          <w:sz w:val="22"/>
          <w:szCs w:val="16"/>
          <w:highlight w:val="none"/>
          <w:lang w:eastAsia="zh-CN"/>
        </w:rPr>
        <w:t xml:space="preserve">JSZC-321081-BYGC-G2026-0008</w:t>
      </w:r>
      <w:r>
        <w:rPr>
          <w:rFonts w:ascii="宋体" w:hAnsi="宋体"/>
          <w:b/>
          <w:bCs/>
          <w:color w:val="000000"/>
          <w:sz w:val="22"/>
          <w:szCs w:val="16"/>
          <w:highlight w:val="none"/>
          <w:lang w:val="en-US" w:eastAsia="zh-CN"/>
        </w:rPr>
      </w:r>
      <w:r/>
    </w:p>
    <w:p>
      <w:pPr>
        <w:pStyle w:val="974"/>
        <w:keepLines/>
        <w:keepNext/>
        <w:pageBreakBefore w:val="0"/>
        <w:spacing w:before="0" w:after="90" w:line="240" w:lineRule="auto"/>
        <w:widowControl w:val="off"/>
        <w:rPr>
          <w:rFonts w:hint="eastAsia"/>
          <w:sz w:val="15"/>
          <w:szCs w:val="8"/>
          <w:highlight w:val="none"/>
        </w:rPr>
      </w:pPr>
      <w:r>
        <w:rPr>
          <w:rFonts w:hint="eastAsia"/>
          <w:sz w:val="15"/>
          <w:szCs w:val="8"/>
          <w:highlight w:val="none"/>
        </w:rPr>
      </w:r>
      <w:r/>
    </w:p>
    <w:p>
      <w:pPr>
        <w:pStyle w:val="973"/>
        <w:jc w:val="center"/>
        <w:keepLines w:val="0"/>
        <w:keepNext w:val="0"/>
        <w:pageBreakBefore w:val="0"/>
        <w:widowControl w:val="off"/>
        <w:rPr>
          <w:rFonts w:hint="eastAsia" w:ascii="宋体" w:hAnsi="宋体" w:eastAsia="宋体" w:cs="Times New Roman"/>
          <w:b/>
          <w:bCs/>
          <w:color w:val="000000"/>
          <w:sz w:val="32"/>
          <w:szCs w:val="21"/>
          <w:highlight w:val="none"/>
          <w:lang w:eastAsia="zh-CN"/>
        </w:rPr>
      </w:pPr>
      <w:r>
        <w:rPr>
          <w:rFonts w:hint="eastAsia" w:ascii="宋体" w:hAnsi="宋体" w:eastAsia="宋体" w:cs="Times New Roman"/>
          <w:b/>
          <w:bCs/>
          <w:color w:val="000000"/>
          <w:sz w:val="32"/>
          <w:szCs w:val="21"/>
          <w:highlight w:val="none"/>
          <w:lang w:eastAsia="zh-CN"/>
        </w:rPr>
        <w:t xml:space="preserve">仪征市排水智能化系统运维项目</w:t>
      </w:r>
      <w:r>
        <w:rPr>
          <w:rFonts w:hint="eastAsia" w:ascii="宋体" w:hAnsi="宋体" w:eastAsia="宋体" w:cs="Times New Roman"/>
          <w:b/>
          <w:bCs/>
          <w:color w:val="000000"/>
          <w:sz w:val="32"/>
          <w:szCs w:val="21"/>
          <w:highlight w:val="none"/>
          <w:lang w:eastAsia="zh-CN"/>
        </w:rPr>
      </w:r>
      <w:r/>
    </w:p>
    <w:p>
      <w:pPr>
        <w:pStyle w:val="973"/>
        <w:jc w:val="center"/>
        <w:keepLines w:val="0"/>
        <w:keepNext w:val="0"/>
        <w:pageBreakBefore w:val="0"/>
        <w:spacing w:before="320"/>
        <w:widowControl w:val="off"/>
        <w:rPr>
          <w:rFonts w:hint="eastAsia" w:ascii="宋体" w:hAnsi="宋体"/>
          <w:b/>
          <w:bCs/>
          <w:color w:val="000000"/>
          <w:sz w:val="36"/>
          <w:highlight w:val="none"/>
        </w:rPr>
      </w:pPr>
      <w:r>
        <w:rPr>
          <w:rFonts w:hint="eastAsia" w:ascii="宋体" w:hAnsi="宋体"/>
          <w:b/>
          <w:bCs/>
          <w:color w:val="000000"/>
          <w:sz w:val="36"/>
          <w:highlight w:val="none"/>
        </w:rPr>
      </w:r>
      <w:r>
        <w:rPr>
          <w:rFonts w:hint="eastAsia" w:ascii="宋体" w:hAnsi="宋体"/>
          <w:b/>
          <w:bCs/>
          <w:color w:val="000000"/>
          <w:sz w:val="36"/>
          <w:highlight w:val="none"/>
        </w:rPr>
        <w:t xml:space="preserve">公开招标文件</w:t>
      </w:r>
      <w:r>
        <w:rPr>
          <w:rFonts w:hint="eastAsia" w:ascii="宋体" w:hAnsi="宋体"/>
          <w:b/>
          <w:bCs/>
          <w:color w:val="000000"/>
          <w:sz w:val="36"/>
          <w:highlight w:val="none"/>
        </w:rPr>
      </w:r>
      <w:r/>
    </w:p>
    <w:p>
      <w:pPr>
        <w:pStyle w:val="1017"/>
        <w:rPr>
          <w:b/>
          <w:bCs/>
          <w:color w:val="000000"/>
          <w:highlight w:val="none"/>
        </w:rPr>
      </w:pPr>
      <w:r>
        <w:rPr>
          <w:b/>
          <w:bCs/>
          <w:color w:val="000000"/>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124050</wp:posOffset>
                </wp:positionH>
                <wp:positionV relativeFrom="paragraph">
                  <wp:posOffset>226032</wp:posOffset>
                </wp:positionV>
                <wp:extent cx="5499633" cy="4460246"/>
                <wp:effectExtent l="6350" t="6350" r="6350" b="6350"/>
                <wp:wrapNone/>
                <wp:docPr id="2" name=""/>
                <wp:cNvGraphicFramePr/>
                <a:graphic xmlns:a="http://schemas.openxmlformats.org/drawingml/2006/main">
                  <a:graphicData uri="http://schemas.openxmlformats.org/drawingml/2006/picture">
                    <pic:pic xmlns:pic="http://schemas.openxmlformats.org/drawingml/2006/picture">
                      <pic:nvPicPr>
                        <pic:cNvPr id="592330987" name=""/>
                        <pic:cNvPicPr/>
                        <pic:nvPr/>
                      </pic:nvPicPr>
                      <pic:blipFill>
                        <a:blip r:embed="rId15"/>
                        <a:stretch/>
                      </pic:blipFill>
                      <pic:spPr bwMode="auto">
                        <a:xfrm flipH="0" flipV="0">
                          <a:off x="0" y="0"/>
                          <a:ext cx="5499631" cy="44602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9.8pt;mso-position-horizontal:absolute;mso-position-vertical-relative:text;margin-top:17.8pt;mso-position-vertical:absolute;width:433.0pt;height:351.2pt;mso-wrap-distance-left:9.0pt;mso-wrap-distance-top:0.0pt;mso-wrap-distance-right:9.0pt;mso-wrap-distance-bottom:0.0pt;" stroked="f">
                <v:path textboxrect="0,0,0,0"/>
                <v:imagedata r:id="rId15" o:title=""/>
              </v:shape>
            </w:pict>
          </mc:Fallback>
        </mc:AlternateContent>
      </w:r>
      <w:r>
        <w:rPr>
          <w:b/>
          <w:bCs/>
          <w:color w:val="000000"/>
          <w:highlight w:val="none"/>
        </w:rPr>
      </w:r>
      <w:r/>
    </w:p>
    <w:p>
      <w:pPr>
        <w:pStyle w:val="973"/>
        <w:jc w:val="center"/>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instrText xml:space="preserve"> SHAPE  \* MERGEFORMAT </w:instrText>
      </w:r>
      <w:r>
        <w:rPr>
          <w:rFonts w:ascii="宋体" w:hAnsi="宋体"/>
          <w:b/>
          <w:bCs/>
          <w:color w:val="000000"/>
          <w:sz w:val="36"/>
          <w:highlight w:val="none"/>
        </w:rPr>
      </w:r>
      <w:r/>
    </w:p>
    <w:p>
      <w:pPr>
        <w:jc w:val="center"/>
        <w:rPr>
          <w:rFonts w:ascii="宋体" w:hAnsi="宋体"/>
          <w:b/>
          <w:bCs/>
          <w:color w:val="000000"/>
          <w:sz w:val="36"/>
          <w:szCs w:val="36"/>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jc w:val="center"/>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jc w:val="center"/>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jc w:val="center"/>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jc w:val="center"/>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jc w:val="center"/>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jc w:val="center"/>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fldChar w:fldCharType="end"/>
      </w:r>
      <w:r/>
    </w:p>
    <w:p>
      <w:pPr>
        <w:pStyle w:val="973"/>
        <w:jc w:val="center"/>
        <w:rPr>
          <w:rFonts w:ascii="宋体" w:hAnsi="宋体"/>
          <w:b/>
          <w:bCs/>
          <w:color w:val="000000"/>
          <w:sz w:val="36"/>
          <w:highlight w:val="none"/>
        </w:rPr>
      </w:pPr>
      <w:r>
        <w:rPr>
          <w:rFonts w:ascii="宋体" w:hAnsi="宋体"/>
          <w:b/>
          <w:bCs/>
          <w:color w:val="000000"/>
          <w:sz w:val="36"/>
          <w:highlight w:val="none"/>
        </w:rPr>
      </w:r>
      <w:r/>
    </w:p>
    <w:p>
      <w:pPr>
        <w:jc w:val="center"/>
        <w:keepLines w:val="0"/>
        <w:keepNext w:val="0"/>
        <w:pageBreakBefore w:val="0"/>
        <w:spacing w:after="65"/>
        <w:widowControl w:val="off"/>
        <w:tabs>
          <w:tab w:val="right" w:pos="8958" w:leader="none"/>
        </w:tabs>
        <w:rPr>
          <w:rFonts w:ascii="宋体" w:hAnsi="宋体" w:eastAsia="宋体"/>
          <w:b/>
          <w:bCs/>
          <w:color w:val="000000"/>
          <w:sz w:val="32"/>
          <w:szCs w:val="32"/>
          <w:highlight w:val="none"/>
          <w:lang w:val="en-US" w:eastAsia="zh-CN"/>
        </w:rPr>
      </w:pPr>
      <w:r>
        <w:rPr>
          <w:highlight w:val="none"/>
        </w:rPr>
      </w:r>
      <w:r>
        <w:rPr>
          <w:highlight w:val="none"/>
        </w:rPr>
      </w:r>
      <w:r/>
    </w:p>
    <w:p>
      <w:pPr>
        <w:jc w:val="center"/>
        <w:keepLines w:val="0"/>
        <w:keepNext w:val="0"/>
        <w:pageBreakBefore w:val="0"/>
        <w:spacing w:after="65"/>
        <w:widowControl w:val="off"/>
        <w:tabs>
          <w:tab w:val="right" w:pos="8958" w:leader="none"/>
        </w:tabs>
        <w:rPr>
          <w:highlight w:val="none"/>
        </w:rPr>
      </w:pPr>
      <w:r>
        <w:rPr>
          <w:highlight w:val="none"/>
        </w:rPr>
      </w:r>
      <w:r>
        <w:rPr>
          <w:highlight w:val="none"/>
        </w:rPr>
      </w:r>
      <w:r/>
    </w:p>
    <w:p>
      <w:pPr>
        <w:jc w:val="center"/>
        <w:keepLines w:val="0"/>
        <w:keepNext w:val="0"/>
        <w:pageBreakBefore w:val="0"/>
        <w:spacing w:after="65"/>
        <w:widowControl w:val="off"/>
        <w:tabs>
          <w:tab w:val="right" w:pos="8958" w:leader="none"/>
        </w:tabs>
        <w:rPr>
          <w:highlight w:val="none"/>
        </w:rPr>
      </w:pPr>
      <w:r>
        <w:rPr>
          <w:highlight w:val="none"/>
        </w:rPr>
      </w:r>
      <w:r>
        <w:rPr>
          <w:highlight w:val="none"/>
        </w:rPr>
      </w:r>
      <w:r/>
    </w:p>
    <w:p>
      <w:pPr>
        <w:jc w:val="center"/>
        <w:keepLines w:val="0"/>
        <w:keepNext w:val="0"/>
        <w:pageBreakBefore w:val="0"/>
        <w:spacing w:after="65"/>
        <w:widowControl w:val="off"/>
        <w:tabs>
          <w:tab w:val="right" w:pos="8958" w:leader="none"/>
        </w:tabs>
        <w:rPr>
          <w:highlight w:val="none"/>
        </w:rPr>
      </w:pPr>
      <w:r>
        <w:rPr>
          <w:highlight w:val="none"/>
        </w:rPr>
      </w:r>
      <w:r>
        <w:rPr>
          <w:highlight w:val="none"/>
        </w:rPr>
      </w:r>
      <w:r/>
    </w:p>
    <w:p>
      <w:pPr>
        <w:jc w:val="center"/>
        <w:keepLines w:val="0"/>
        <w:keepNext w:val="0"/>
        <w:pageBreakBefore w:val="0"/>
        <w:spacing w:after="65"/>
        <w:widowControl w:val="off"/>
        <w:tabs>
          <w:tab w:val="right" w:pos="8958" w:leader="none"/>
        </w:tabs>
        <w:rPr>
          <w:highlight w:val="none"/>
        </w:rPr>
      </w:pPr>
      <w:r>
        <w:rPr>
          <w:highlight w:val="none"/>
        </w:rPr>
      </w:r>
      <w:r>
        <w:rPr>
          <w:highlight w:val="none"/>
        </w:rPr>
      </w:r>
      <w:r/>
    </w:p>
    <w:p>
      <w:pPr>
        <w:jc w:val="center"/>
        <w:keepLines w:val="0"/>
        <w:keepNext w:val="0"/>
        <w:pageBreakBefore w:val="0"/>
        <w:spacing w:after="65"/>
        <w:widowControl w:val="off"/>
        <w:tabs>
          <w:tab w:val="right" w:pos="8958" w:leader="none"/>
        </w:tabs>
        <w:rPr>
          <w:highlight w:val="none"/>
        </w:rPr>
      </w:pPr>
      <w:r>
        <w:rPr>
          <w:highlight w:val="none"/>
        </w:rPr>
      </w:r>
      <w:r>
        <w:rPr>
          <w:highlight w:val="none"/>
        </w:rPr>
      </w:r>
      <w:r/>
    </w:p>
    <w:p>
      <w:pPr>
        <w:jc w:val="center"/>
        <w:keepLines w:val="0"/>
        <w:keepNext w:val="0"/>
        <w:pageBreakBefore w:val="0"/>
        <w:spacing w:after="65"/>
        <w:widowControl w:val="off"/>
        <w:tabs>
          <w:tab w:val="right" w:pos="8958" w:leader="none"/>
        </w:tabs>
        <w:rPr>
          <w:highlight w:val="none"/>
        </w:rPr>
      </w:pPr>
      <w:r>
        <w:rPr>
          <w:highlight w:val="none"/>
        </w:rPr>
      </w:r>
      <w:r>
        <w:rPr>
          <w:highlight w:val="none"/>
        </w:rPr>
      </w:r>
      <w:r/>
    </w:p>
    <w:p>
      <w:pPr>
        <w:jc w:val="center"/>
        <w:keepLines w:val="0"/>
        <w:keepNext w:val="0"/>
        <w:pageBreakBefore w:val="0"/>
        <w:spacing w:after="65"/>
        <w:widowControl w:val="off"/>
        <w:tabs>
          <w:tab w:val="right" w:pos="8958" w:leader="none"/>
        </w:tabs>
        <w:rPr>
          <w:highlight w:val="none"/>
        </w:rPr>
      </w:pPr>
      <w:r>
        <w:rPr>
          <w:highlight w:val="none"/>
        </w:rPr>
      </w:r>
      <w:r>
        <w:rPr>
          <w:highlight w:val="none"/>
        </w:rPr>
      </w:r>
      <w:r/>
    </w:p>
    <w:p>
      <w:pPr>
        <w:jc w:val="center"/>
        <w:keepLines w:val="0"/>
        <w:keepNext w:val="0"/>
        <w:pageBreakBefore w:val="0"/>
        <w:spacing w:after="65"/>
        <w:widowControl w:val="off"/>
        <w:tabs>
          <w:tab w:val="right" w:pos="8958" w:leader="none"/>
        </w:tabs>
        <w:rPr>
          <w:highlight w:val="none"/>
        </w:rPr>
      </w:pPr>
      <w:r>
        <w:rPr>
          <w:highlight w:val="none"/>
        </w:rPr>
      </w:r>
      <w:r>
        <w:rPr>
          <w:highlight w:val="none"/>
        </w:rPr>
      </w:r>
      <w:r/>
    </w:p>
    <w:p>
      <w:pPr>
        <w:jc w:val="center"/>
        <w:keepLines w:val="0"/>
        <w:keepNext w:val="0"/>
        <w:pageBreakBefore w:val="0"/>
        <w:spacing w:after="65"/>
        <w:widowControl w:val="off"/>
        <w:tabs>
          <w:tab w:val="right" w:pos="8958" w:leader="none"/>
        </w:tabs>
        <w:rPr>
          <w:highlight w:val="none"/>
        </w:rPr>
      </w:pPr>
      <w:r>
        <w:rPr>
          <w:highlight w:val="none"/>
        </w:rPr>
      </w:r>
      <w:r>
        <w:rPr>
          <w:highlight w:val="none"/>
        </w:rPr>
      </w:r>
      <w:r/>
    </w:p>
    <w:p>
      <w:pPr>
        <w:jc w:val="center"/>
        <w:keepLines w:val="0"/>
        <w:keepNext w:val="0"/>
        <w:pageBreakBefore w:val="0"/>
        <w:spacing w:after="65"/>
        <w:widowControl w:val="off"/>
        <w:tabs>
          <w:tab w:val="right" w:pos="8958" w:leader="none"/>
        </w:tabs>
        <w:rPr>
          <w:highlight w:val="none"/>
        </w:rPr>
      </w:pPr>
      <w:r>
        <w:rPr>
          <w:highlight w:val="none"/>
        </w:rPr>
      </w:r>
      <w:r>
        <w:rPr>
          <w:highlight w:val="none"/>
        </w:rPr>
      </w:r>
      <w:r/>
    </w:p>
    <w:p>
      <w:pPr>
        <w:jc w:val="center"/>
        <w:keepLines w:val="0"/>
        <w:keepNext w:val="0"/>
        <w:pageBreakBefore w:val="0"/>
        <w:spacing w:after="65"/>
        <w:widowControl w:val="off"/>
        <w:tabs>
          <w:tab w:val="right" w:pos="8958" w:leader="none"/>
        </w:tabs>
        <w:rPr>
          <w:highlight w:val="none"/>
        </w:rPr>
      </w:pPr>
      <w:r>
        <w:rPr>
          <w:highlight w:val="none"/>
        </w:rPr>
      </w:r>
      <w:r>
        <w:rPr>
          <w:highlight w:val="none"/>
        </w:rPr>
      </w:r>
      <w:r/>
    </w:p>
    <w:p>
      <w:pPr>
        <w:jc w:val="center"/>
        <w:keepLines w:val="0"/>
        <w:keepNext w:val="0"/>
        <w:pageBreakBefore w:val="0"/>
        <w:spacing w:after="65"/>
        <w:widowControl w:val="off"/>
        <w:tabs>
          <w:tab w:val="right" w:pos="8958" w:leader="none"/>
        </w:tabs>
        <w:rPr>
          <w:highlight w:val="none"/>
        </w:rPr>
      </w:pPr>
      <w:r>
        <w:rPr>
          <w:highlight w:val="none"/>
        </w:rPr>
      </w:r>
      <w:r>
        <w:rPr>
          <w:highlight w:val="none"/>
        </w:rPr>
      </w:r>
      <w:r/>
    </w:p>
    <w:p>
      <w:pPr>
        <w:jc w:val="center"/>
        <w:keepLines w:val="0"/>
        <w:keepNext w:val="0"/>
        <w:pageBreakBefore w:val="0"/>
        <w:spacing w:after="65"/>
        <w:widowControl w:val="off"/>
        <w:tabs>
          <w:tab w:val="right" w:pos="8958" w:leader="none"/>
        </w:tabs>
        <w:rPr>
          <w:highlight w:val="none"/>
        </w:rPr>
      </w:pPr>
      <w:r>
        <w:rPr>
          <w:highlight w:val="none"/>
        </w:rPr>
      </w:r>
      <w:r>
        <w:rPr>
          <w:highlight w:val="none"/>
        </w:rPr>
      </w:r>
      <w:r/>
    </w:p>
    <w:p>
      <w:pPr>
        <w:pStyle w:val="973"/>
        <w:jc w:val="center"/>
        <w:keepLines w:val="0"/>
        <w:keepNext w:val="0"/>
        <w:pageBreakBefore w:val="0"/>
        <w:spacing w:after="65" w:line="360" w:lineRule="auto"/>
        <w:widowControl w:val="off"/>
        <w:tabs>
          <w:tab w:val="right" w:pos="8958" w:leader="none"/>
        </w:tabs>
        <w:rPr>
          <w:rFonts w:hint="eastAsia" w:ascii="宋体" w:hAnsi="宋体"/>
          <w:b/>
          <w:bCs/>
          <w:color w:val="000000"/>
          <w:sz w:val="32"/>
          <w:szCs w:val="32"/>
          <w:highlight w:val="none"/>
          <w:lang w:val="en-US" w:eastAsia="zh-CN"/>
        </w:rPr>
      </w:pPr>
      <w:r>
        <w:rPr>
          <w:rFonts w:hint="eastAsia" w:ascii="宋体" w:hAnsi="宋体"/>
          <w:b/>
          <w:bCs/>
          <w:color w:val="000000"/>
          <w:sz w:val="32"/>
          <w:szCs w:val="21"/>
          <w:highlight w:val="none"/>
          <w:lang w:val="en-US" w:eastAsia="zh-CN"/>
        </w:rPr>
        <w:t xml:space="preserve">           </w:t>
      </w:r>
      <w:r>
        <w:rPr>
          <w:highlight w:val="none"/>
        </w:rPr>
      </w:r>
      <w:r/>
    </w:p>
    <w:p>
      <w:pPr>
        <w:jc w:val="center"/>
        <w:keepLines w:val="0"/>
        <w:keepNext w:val="0"/>
        <w:pageBreakBefore w:val="0"/>
        <w:spacing w:after="65" w:line="360" w:lineRule="auto"/>
        <w:widowControl w:val="off"/>
        <w:tabs>
          <w:tab w:val="right" w:pos="8958" w:leader="none"/>
        </w:tabs>
        <w:rPr>
          <w:highlight w:val="none"/>
        </w:rPr>
      </w:pPr>
      <w:r>
        <w:rPr>
          <w:rFonts w:hint="eastAsia" w:ascii="宋体" w:hAnsi="宋体"/>
          <w:b/>
          <w:bCs/>
          <w:color w:val="000000"/>
          <w:sz w:val="32"/>
          <w:szCs w:val="21"/>
          <w:highlight w:val="none"/>
          <w:lang w:val="en-US" w:eastAsia="zh-CN"/>
        </w:rPr>
        <w:t xml:space="preserve">            招标单位：仪征市住房和城乡建设局</w:t>
      </w:r>
      <w:r>
        <w:tab/>
      </w:r>
      <w:r/>
    </w:p>
    <w:p>
      <w:pPr>
        <w:pStyle w:val="973"/>
        <w:jc w:val="center"/>
        <w:keepLines w:val="0"/>
        <w:keepNext w:val="0"/>
        <w:pageBreakBefore w:val="0"/>
        <w:spacing w:after="65" w:line="360" w:lineRule="auto"/>
        <w:widowControl w:val="off"/>
        <w:rPr>
          <w:rFonts w:hint="eastAsia" w:ascii="宋体" w:hAnsi="宋体" w:eastAsia="宋体"/>
          <w:b/>
          <w:bCs/>
          <w:color w:val="000000"/>
          <w:sz w:val="32"/>
          <w:szCs w:val="32"/>
          <w:highlight w:val="none"/>
          <w:lang w:eastAsia="zh-CN"/>
        </w:rPr>
      </w:pPr>
      <w:r>
        <w:rPr>
          <w:rFonts w:hint="eastAsia" w:ascii="宋体" w:hAnsi="宋体"/>
          <w:b/>
          <w:bCs/>
          <w:color w:val="000000"/>
          <w:sz w:val="32"/>
          <w:szCs w:val="21"/>
          <w:highlight w:val="none"/>
          <w:lang w:val="en-US" w:eastAsia="zh-CN"/>
        </w:rPr>
        <w:t xml:space="preserve">代理机构：</w:t>
      </w:r>
      <w:r>
        <w:rPr>
          <w:rFonts w:hint="eastAsia" w:ascii="宋体" w:hAnsi="宋体"/>
          <w:b/>
          <w:bCs/>
          <w:color w:val="000000"/>
          <w:sz w:val="32"/>
          <w:szCs w:val="21"/>
          <w:highlight w:val="none"/>
          <w:lang w:eastAsia="zh-CN"/>
        </w:rPr>
        <w:t xml:space="preserve">扬州博远工程咨询有限公司</w:t>
      </w:r>
      <w:r>
        <w:rPr>
          <w:rFonts w:hint="eastAsia" w:ascii="宋体" w:hAnsi="宋体" w:eastAsia="宋体"/>
          <w:b/>
          <w:bCs/>
          <w:color w:val="000000"/>
          <w:sz w:val="32"/>
          <w:szCs w:val="21"/>
          <w:highlight w:val="none"/>
          <w:lang w:eastAsia="zh-CN"/>
        </w:rPr>
      </w:r>
      <w:r/>
    </w:p>
    <w:p>
      <w:pPr>
        <w:jc w:val="center"/>
        <w:keepLines w:val="0"/>
        <w:keepNext w:val="0"/>
        <w:pageBreakBefore w:val="0"/>
        <w:spacing w:after="65" w:line="360" w:lineRule="auto"/>
        <w:widowControl w:val="off"/>
        <w:rPr>
          <w:rFonts w:hint="eastAsia" w:ascii="宋体" w:hAnsi="宋体" w:eastAsia="宋体"/>
          <w:b/>
          <w:bCs/>
          <w:color w:val="000000"/>
          <w:sz w:val="32"/>
          <w:szCs w:val="32"/>
          <w:highlight w:val="none"/>
          <w:lang w:eastAsia="zh-CN"/>
        </w:rPr>
      </w:pPr>
      <w:r>
        <w:rPr>
          <w:rFonts w:hint="eastAsia" w:ascii="宋体" w:hAnsi="宋体" w:eastAsia="宋体"/>
          <w:b/>
          <w:bCs/>
          <w:color w:val="000000"/>
          <w:sz w:val="32"/>
          <w:szCs w:val="21"/>
          <w:highlight w:val="none"/>
          <w:lang w:eastAsia="zh-CN"/>
        </w:rPr>
        <w:t xml:space="preserve">2026年6月</w:t>
      </w:r>
      <w:r>
        <w:rPr>
          <w:rFonts w:hint="eastAsia" w:ascii="宋体" w:hAnsi="宋体" w:eastAsia="宋体"/>
          <w:b/>
          <w:bCs/>
          <w:color w:val="000000"/>
          <w:sz w:val="32"/>
          <w:szCs w:val="21"/>
          <w:highlight w:val="none"/>
          <w:lang w:eastAsia="zh-CN"/>
        </w:rPr>
      </w:r>
      <w:r/>
    </w:p>
    <w:p>
      <w:pPr>
        <w:jc w:val="center"/>
        <w:rPr>
          <w:color w:val="000000"/>
          <w:highlight w:val="none"/>
        </w:rPr>
      </w:pPr>
      <w:r>
        <w:rPr>
          <w:color w:val="000000"/>
          <w:highlight w:val="none"/>
        </w:rPr>
      </w:r>
      <w:r>
        <w:rPr>
          <w:color w:val="000000"/>
          <w:highlight w:val="none"/>
        </w:rPr>
      </w:r>
      <w:r/>
    </w:p>
    <w:p>
      <w:pPr>
        <w:jc w:val="center"/>
        <w:rPr>
          <w:color w:val="000000"/>
          <w:highlight w:val="none"/>
        </w:rPr>
      </w:pPr>
      <w:r>
        <w:rPr>
          <w:color w:val="000000"/>
          <w:highlight w:val="none"/>
        </w:rPr>
      </w:r>
      <w:r>
        <w:rPr>
          <w:color w:val="000000"/>
          <w:highlight w:val="none"/>
        </w:rPr>
      </w:r>
      <w:r/>
    </w:p>
    <w:p>
      <w:pPr>
        <w:jc w:val="center"/>
        <w:rPr>
          <w:color w:val="000000"/>
          <w:highlight w:val="none"/>
        </w:rPr>
      </w:pPr>
      <w:r>
        <w:rPr>
          <w:color w:val="000000"/>
          <w:highlight w:val="none"/>
        </w:rPr>
      </w:r>
      <w:r>
        <w:rPr>
          <w:color w:val="000000"/>
          <w:highlight w:val="none"/>
        </w:rPr>
      </w:r>
      <w:r/>
    </w:p>
    <w:p>
      <w:pPr>
        <w:jc w:val="left"/>
        <w:rPr>
          <w:rFonts w:ascii="宋体" w:hAnsi="宋体"/>
          <w:color w:val="000000"/>
          <w:sz w:val="32"/>
          <w:szCs w:val="32"/>
          <w:highlight w:val="none"/>
        </w:rPr>
      </w:pPr>
      <w:r>
        <w:rPr>
          <w:rFonts w:ascii="宋体" w:hAnsi="宋体"/>
          <w:color w:val="000000"/>
          <w:sz w:val="32"/>
          <w:highlight w:val="none"/>
        </w:rPr>
      </w:r>
      <w:r>
        <w:rPr>
          <w:rFonts w:ascii="宋体" w:hAnsi="宋体"/>
          <w:color w:val="000000"/>
          <w:sz w:val="32"/>
          <w:highlight w:val="none"/>
        </w:rPr>
      </w:r>
      <w:r/>
    </w:p>
    <w:p>
      <w:pPr>
        <w:pStyle w:val="973"/>
        <w:jc w:val="center"/>
        <w:rPr>
          <w:rFonts w:ascii="宋体" w:hAnsi="宋体"/>
          <w:color w:val="000000"/>
          <w:sz w:val="32"/>
          <w:szCs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993"/>
        <w:tabs>
          <w:tab w:val="right" w:pos="8306" w:leader="dot"/>
        </w:tabs>
        <w:rPr>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Times New Roman" w:hAnsi="Times New Roman" w:eastAsia="宋体" w:cs="Times New Roman"/>
          <w:color w:val="000000"/>
          <w:szCs w:val="36"/>
          <w:highlight w:val="none"/>
          <w:lang w:val="en-US" w:eastAsia="zh-CN"/>
        </w:rPr>
        <w:t xml:space="preserve">第一章 招标公告</w:t>
      </w:r>
      <w:r>
        <w:rPr>
          <w:highlight w:val="none"/>
        </w:rPr>
        <w:tab/>
      </w:r>
      <w:r>
        <w:rPr>
          <w:highlight w:val="none"/>
        </w:rPr>
        <w:fldChar w:fldCharType="begin"/>
      </w:r>
      <w:r>
        <w:rPr>
          <w:highlight w:val="none"/>
        </w:rPr>
        <w:instrText xml:space="preserve"> PAGEREF _Toc680 \h </w:instrText>
      </w:r>
      <w:r>
        <w:rPr>
          <w:highlight w:val="none"/>
        </w:rPr>
        <w:fldChar w:fldCharType="separate"/>
      </w:r>
      <w:r>
        <w:rPr>
          <w:highlight w:val="none"/>
        </w:rPr>
        <w:t xml:space="preserve">3</w:t>
      </w:r>
      <w:r>
        <w:rPr>
          <w:highlight w:val="none"/>
        </w:rPr>
        <w:fldChar w:fldCharType="end"/>
      </w:r>
      <w:r>
        <w:rPr>
          <w:highlight w:val="none"/>
        </w:rPr>
      </w:r>
      <w:r/>
    </w:p>
    <w:p>
      <w:pPr>
        <w:pStyle w:val="993"/>
        <w:tabs>
          <w:tab w:val="right" w:pos="8306" w:leader="dot"/>
        </w:tabs>
        <w:rPr>
          <w:highlight w:val="none"/>
        </w:rPr>
      </w:pPr>
      <w:r>
        <w:rPr>
          <w:rFonts w:hint="eastAsia"/>
          <w:color w:val="000000"/>
          <w:szCs w:val="36"/>
          <w:highlight w:val="none"/>
          <w:lang w:val="en-US" w:eastAsia="zh-CN"/>
        </w:rPr>
        <w:t xml:space="preserve">第二章 投标人须知</w:t>
      </w:r>
      <w:r>
        <w:rPr>
          <w:highlight w:val="none"/>
        </w:rPr>
        <w:tab/>
      </w:r>
      <w:r>
        <w:rPr>
          <w:highlight w:val="none"/>
        </w:rPr>
        <w:fldChar w:fldCharType="begin"/>
      </w:r>
      <w:r>
        <w:rPr>
          <w:highlight w:val="none"/>
        </w:rPr>
        <w:instrText xml:space="preserve"> PAGEREF _Toc13616 \h </w:instrText>
      </w:r>
      <w:r>
        <w:rPr>
          <w:highlight w:val="none"/>
        </w:rPr>
        <w:fldChar w:fldCharType="separate"/>
      </w:r>
      <w:r>
        <w:rPr>
          <w:highlight w:val="none"/>
        </w:rPr>
        <w:t xml:space="preserve">7</w:t>
      </w:r>
      <w:r>
        <w:rPr>
          <w:highlight w:val="none"/>
        </w:rPr>
        <w:fldChar w:fldCharType="end"/>
      </w:r>
      <w:r>
        <w:rPr>
          <w:highlight w:val="none"/>
        </w:rPr>
      </w:r>
      <w:r/>
    </w:p>
    <w:p>
      <w:pPr>
        <w:pStyle w:val="993"/>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第三章 合同文本</w:t>
      </w:r>
      <w:r>
        <w:rPr>
          <w:highlight w:val="none"/>
        </w:rPr>
        <w:tab/>
      </w:r>
      <w:r>
        <w:rPr>
          <w:highlight w:val="none"/>
        </w:rPr>
        <w:fldChar w:fldCharType="begin"/>
      </w:r>
      <w:r>
        <w:rPr>
          <w:highlight w:val="none"/>
        </w:rPr>
        <w:instrText xml:space="preserve"> PAGEREF _Toc9566 \h </w:instrText>
      </w:r>
      <w:r>
        <w:rPr>
          <w:highlight w:val="none"/>
        </w:rPr>
        <w:fldChar w:fldCharType="separate"/>
      </w:r>
      <w:r>
        <w:rPr>
          <w:highlight w:val="none"/>
        </w:rPr>
        <w:t xml:space="preserve">18</w:t>
      </w:r>
      <w:r>
        <w:rPr>
          <w:highlight w:val="none"/>
        </w:rPr>
        <w:fldChar w:fldCharType="end"/>
      </w:r>
      <w:r>
        <w:rPr>
          <w:highlight w:val="none"/>
        </w:rPr>
      </w:r>
      <w:r/>
    </w:p>
    <w:p>
      <w:pPr>
        <w:pStyle w:val="993"/>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第四章 采购需求</w:t>
      </w:r>
      <w:r>
        <w:rPr>
          <w:highlight w:val="none"/>
        </w:rPr>
        <w:tab/>
      </w:r>
      <w:r>
        <w:rPr>
          <w:highlight w:val="none"/>
        </w:rPr>
        <w:fldChar w:fldCharType="begin"/>
      </w:r>
      <w:r>
        <w:rPr>
          <w:highlight w:val="none"/>
        </w:rPr>
        <w:instrText xml:space="preserve"> PAGEREF _Toc20199 \h </w:instrText>
      </w:r>
      <w:r>
        <w:rPr>
          <w:highlight w:val="none"/>
        </w:rPr>
        <w:fldChar w:fldCharType="separate"/>
      </w:r>
      <w:r>
        <w:rPr>
          <w:highlight w:val="none"/>
        </w:rPr>
        <w:t xml:space="preserve">29</w:t>
      </w:r>
      <w:r>
        <w:rPr>
          <w:highlight w:val="none"/>
        </w:rPr>
        <w:fldChar w:fldCharType="end"/>
      </w:r>
      <w:r>
        <w:rPr>
          <w:highlight w:val="none"/>
        </w:rPr>
      </w:r>
      <w:r/>
    </w:p>
    <w:p>
      <w:pPr>
        <w:pStyle w:val="993"/>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第五章 评审方法与评标标准</w:t>
      </w:r>
      <w:r>
        <w:rPr>
          <w:highlight w:val="none"/>
        </w:rPr>
        <w:tab/>
      </w:r>
      <w:r>
        <w:rPr>
          <w:highlight w:val="none"/>
        </w:rPr>
        <w:fldChar w:fldCharType="begin"/>
      </w:r>
      <w:r>
        <w:rPr>
          <w:highlight w:val="none"/>
        </w:rPr>
        <w:instrText xml:space="preserve"> PAGEREF _Toc20429 \h </w:instrText>
      </w:r>
      <w:r>
        <w:rPr>
          <w:highlight w:val="none"/>
        </w:rPr>
        <w:fldChar w:fldCharType="separate"/>
      </w:r>
      <w:r>
        <w:rPr>
          <w:highlight w:val="none"/>
        </w:rPr>
        <w:t xml:space="preserve">60</w:t>
      </w:r>
      <w:r>
        <w:rPr>
          <w:highlight w:val="none"/>
        </w:rPr>
        <w:fldChar w:fldCharType="end"/>
      </w:r>
      <w:r>
        <w:rPr>
          <w:highlight w:val="none"/>
        </w:rPr>
      </w:r>
      <w:r/>
    </w:p>
    <w:p>
      <w:pPr>
        <w:pStyle w:val="993"/>
        <w:tabs>
          <w:tab w:val="right" w:pos="8306" w:leader="dot"/>
        </w:tabs>
        <w:rPr>
          <w:highlight w:val="none"/>
        </w:rPr>
      </w:pPr>
      <w:r>
        <w:rPr>
          <w:rFonts w:hint="eastAsia" w:ascii="Times New Roman" w:hAnsi="Times New Roman" w:eastAsia="宋体" w:cs="Times New Roman"/>
          <w:bCs/>
          <w:color w:val="000000"/>
          <w:szCs w:val="36"/>
          <w:highlight w:val="none"/>
          <w:lang w:val="en-US" w:eastAsia="zh-CN" w:bidi="ar-SA"/>
        </w:rPr>
        <w:t xml:space="preserve">第六章 投标文件格式</w:t>
      </w:r>
      <w:r>
        <w:rPr>
          <w:highlight w:val="none"/>
        </w:rPr>
        <w:tab/>
      </w:r>
      <w:r>
        <w:rPr>
          <w:highlight w:val="none"/>
        </w:rPr>
        <w:fldChar w:fldCharType="begin"/>
      </w:r>
      <w:r>
        <w:rPr>
          <w:highlight w:val="none"/>
        </w:rPr>
        <w:instrText xml:space="preserve"> PAGEREF _Toc9788 \h </w:instrText>
      </w:r>
      <w:r>
        <w:rPr>
          <w:highlight w:val="none"/>
        </w:rPr>
        <w:fldChar w:fldCharType="separate"/>
      </w:r>
      <w:r>
        <w:rPr>
          <w:highlight w:val="none"/>
        </w:rPr>
        <w:t xml:space="preserve">64</w:t>
      </w:r>
      <w:r>
        <w:rPr>
          <w:highlight w:val="none"/>
        </w:rPr>
        <w:fldChar w:fldCharType="end"/>
      </w:r>
      <w:r>
        <w:rPr>
          <w:highlight w:val="none"/>
        </w:rPr>
      </w:r>
      <w:r/>
    </w:p>
    <w:p>
      <w:pPr>
        <w:pStyle w:val="973"/>
        <w:rPr>
          <w:rFonts w:ascii="宋体" w:hAnsi="宋体"/>
          <w:color w:val="000000"/>
          <w:sz w:val="28"/>
          <w:highlight w:val="none"/>
        </w:rPr>
      </w:pPr>
      <w:r>
        <w:rPr>
          <w:rFonts w:ascii="宋体" w:hAnsi="宋体"/>
          <w:color w:val="000000"/>
          <w:highlight w:val="none"/>
        </w:rPr>
        <w:fldChar w:fldCharType="end"/>
      </w:r>
      <w:r>
        <w:rPr>
          <w:rFonts w:ascii="宋体" w:hAnsi="宋体"/>
          <w:color w:val="000000"/>
          <w:sz w:val="28"/>
          <w:highlight w:val="none"/>
        </w:rPr>
      </w:r>
      <w:r/>
    </w:p>
    <w:p>
      <w:pPr>
        <w:pStyle w:val="973"/>
        <w:numPr>
          <w:ilvl w:val="0"/>
          <w:numId w:val="2"/>
        </w:numPr>
        <w:jc w:val="center"/>
        <w:rPr>
          <w:rStyle w:val="980"/>
          <w:rFonts w:hint="eastAsia" w:ascii="Times New Roman" w:hAnsi="Times New Roman" w:eastAsia="宋体" w:cs="Times New Roman"/>
          <w:color w:val="000000"/>
          <w:sz w:val="36"/>
          <w:szCs w:val="36"/>
          <w:highlight w:val="none"/>
          <w:lang w:val="en-US" w:eastAsia="zh-CN"/>
        </w:rPr>
      </w:pPr>
      <w:r>
        <w:rPr>
          <w:rFonts w:ascii="宋体" w:hAnsi="宋体"/>
          <w:color w:val="000000"/>
          <w:sz w:val="28"/>
          <w:highlight w:val="none"/>
        </w:rPr>
      </w:r>
      <w:r>
        <w:rPr>
          <w:rFonts w:ascii="宋体" w:hAnsi="宋体"/>
          <w:color w:val="000000"/>
          <w:sz w:val="28"/>
          <w:highlight w:val="none"/>
        </w:rPr>
        <w:br w:type="page" w:clear="all"/>
      </w:r>
      <w:bookmarkStart w:id="0" w:name="_Toc680"/>
      <w:r>
        <w:rPr>
          <w:rStyle w:val="980"/>
          <w:rFonts w:hint="eastAsia" w:ascii="Times New Roman" w:hAnsi="Times New Roman" w:eastAsia="宋体" w:cs="Times New Roman"/>
          <w:color w:val="000000"/>
          <w:sz w:val="36"/>
          <w:szCs w:val="36"/>
          <w:highlight w:val="none"/>
          <w:lang w:val="en-US" w:eastAsia="zh-CN"/>
        </w:rPr>
        <w:t xml:space="preserve">招标公告</w:t>
      </w:r>
      <w:r>
        <w:rPr>
          <w:rStyle w:val="980"/>
          <w:rFonts w:hint="eastAsia" w:ascii="Times New Roman" w:hAnsi="Times New Roman" w:eastAsia="宋体" w:cs="Times New Roman"/>
          <w:color w:val="000000"/>
          <w:sz w:val="36"/>
          <w:szCs w:val="36"/>
          <w:highlight w:val="none"/>
          <w:lang w:val="en-US" w:eastAsia="zh-CN"/>
        </w:rPr>
      </w:r>
      <w:r/>
    </w:p>
    <w:p>
      <w:pPr>
        <w:pStyle w:val="973"/>
        <w:ind w:firstLine="420"/>
        <w:keepLines w:val="0"/>
        <w:keepNext w:val="0"/>
        <w:pageBreakBefore w:val="0"/>
        <w:spacing w:line="440" w:lineRule="exact"/>
        <w:widowControl w:val="off"/>
        <w:rPr>
          <w:rFonts w:ascii="宋体" w:hAnsi="宋体"/>
          <w:sz w:val="21"/>
          <w:szCs w:val="21"/>
          <w:highlight w:val="none"/>
        </w:rPr>
        <w:outlineLvl w:val="9"/>
      </w:pPr>
      <w:r/>
      <w:bookmarkEnd w:id="0"/>
      <w:r>
        <w:rPr>
          <w:rFonts w:hint="eastAsia" w:ascii="宋体" w:hAnsi="宋体"/>
          <w:sz w:val="21"/>
          <w:szCs w:val="21"/>
          <w:highlight w:val="none"/>
        </w:rPr>
        <w:t xml:space="preserve">受</w:t>
      </w:r>
      <w:r>
        <w:rPr>
          <w:rFonts w:hint="eastAsia" w:ascii="宋体" w:hAnsi="宋体"/>
          <w:sz w:val="21"/>
          <w:szCs w:val="21"/>
          <w:highlight w:val="none"/>
          <w:lang w:eastAsia="zh-CN"/>
        </w:rPr>
        <w:t xml:space="preserve">仪征市住房和城乡建设局</w:t>
      </w:r>
      <w:r>
        <w:rPr>
          <w:rFonts w:hint="eastAsia" w:ascii="宋体" w:hAnsi="宋体"/>
          <w:sz w:val="21"/>
          <w:szCs w:val="21"/>
          <w:highlight w:val="none"/>
        </w:rPr>
        <w:t xml:space="preserve">的委托，</w:t>
      </w:r>
      <w:r>
        <w:rPr>
          <w:rFonts w:hint="eastAsia" w:ascii="宋体" w:hAnsi="宋体"/>
          <w:sz w:val="21"/>
          <w:szCs w:val="21"/>
          <w:highlight w:val="none"/>
          <w:lang w:eastAsia="zh-CN"/>
        </w:rPr>
        <w:t xml:space="preserve">扬州博远工程咨询有限公司</w:t>
      </w:r>
      <w:r>
        <w:rPr>
          <w:rFonts w:hint="eastAsia" w:ascii="宋体" w:hAnsi="宋体"/>
          <w:sz w:val="21"/>
          <w:szCs w:val="21"/>
          <w:highlight w:val="none"/>
        </w:rPr>
        <w:t xml:space="preserve">就</w:t>
      </w:r>
      <w:r>
        <w:rPr>
          <w:rFonts w:hint="eastAsia" w:ascii="宋体" w:hAnsi="宋体"/>
          <w:sz w:val="21"/>
          <w:szCs w:val="21"/>
          <w:highlight w:val="none"/>
          <w:lang w:eastAsia="zh-CN"/>
        </w:rPr>
        <w:t xml:space="preserve">仪征市排水智能化系统运维项目</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项目编号：JSZC-321081-BYGC-G2026-0008</w:t>
      </w:r>
      <w:r>
        <w:rPr>
          <w:rFonts w:hint="eastAsia" w:ascii="宋体" w:hAnsi="宋体"/>
          <w:sz w:val="21"/>
          <w:szCs w:val="21"/>
          <w:highlight w:val="none"/>
        </w:rPr>
        <w:t xml:space="preserve">)进行公开招标采购，欢迎符合条件的供应商投标。</w:t>
      </w:r>
      <w:r>
        <w:rPr>
          <w:rFonts w:ascii="宋体" w:hAnsi="宋体"/>
          <w:sz w:val="21"/>
          <w:szCs w:val="21"/>
          <w:highlight w:val="none"/>
        </w:rPr>
      </w:r>
      <w:r/>
    </w:p>
    <w:p>
      <w:pPr>
        <w:pStyle w:val="973"/>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bookmarkStart w:id="1" w:name="XMMC_3"/>
      <w:r>
        <w:rPr>
          <w:rFonts w:hint="eastAsia" w:ascii="宋体" w:hAnsi="宋体" w:cs="宋体"/>
          <w:b/>
          <w:color w:val="000000"/>
          <w:szCs w:val="21"/>
          <w:highlight w:val="none"/>
        </w:rPr>
        <w:t xml:space="preserve">项目概况</w:t>
      </w:r>
      <w:r>
        <w:rPr>
          <w:rFonts w:hint="eastAsia" w:ascii="宋体" w:hAnsi="宋体" w:cs="宋体"/>
          <w:b/>
          <w:color w:val="000000"/>
          <w:szCs w:val="21"/>
          <w:highlight w:val="none"/>
        </w:rPr>
      </w:r>
      <w:r/>
    </w:p>
    <w:p>
      <w:pPr>
        <w:pStyle w:val="973"/>
        <w:ind w:firstLine="420"/>
        <w:jc w:val="left"/>
        <w:spacing w:before="92" w:after="150" w:line="360" w:lineRule="auto"/>
        <w:widowControl/>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bookmarkEnd w:id="1"/>
      <w:r>
        <w:rPr>
          <w:rFonts w:hint="eastAsia" w:ascii="宋体" w:hAnsi="宋体" w:eastAsia="宋体" w:cs="宋体"/>
          <w:color w:val="000000"/>
          <w:szCs w:val="21"/>
          <w:highlight w:val="none"/>
          <w:u w:val="single"/>
          <w:lang w:eastAsia="zh-CN"/>
        </w:rPr>
        <w:t xml:space="preserve">仪征市排水智能化系统运维项目</w:t>
      </w:r>
      <w:r>
        <w:rPr>
          <w:rFonts w:hint="eastAsia" w:ascii="宋体" w:hAnsi="宋体" w:cs="宋体"/>
          <w:color w:val="000000"/>
          <w:szCs w:val="21"/>
          <w:highlight w:val="none"/>
        </w:rPr>
        <w:t xml:space="preserve">的潜在</w:t>
      </w:r>
      <w:r>
        <w:rPr>
          <w:rFonts w:hint="eastAsia" w:ascii="宋体" w:hAnsi="宋体" w:cs="宋体"/>
          <w:color w:val="000000"/>
          <w:highlight w:val="none"/>
        </w:rPr>
        <w:t xml:space="preserve">投标人</w:t>
      </w:r>
      <w:r>
        <w:rPr>
          <w:rFonts w:hint="eastAsia" w:ascii="宋体" w:hAnsi="宋体" w:cs="宋体"/>
          <w:color w:val="000000"/>
          <w:szCs w:val="21"/>
          <w:highlight w:val="none"/>
        </w:rPr>
        <w:t xml:space="preserve">可在</w:t>
      </w:r>
      <w:r>
        <w:rPr>
          <w:rFonts w:hint="eastAsia" w:ascii="宋体" w:hAnsi="宋体" w:cs="宋体"/>
          <w:color w:val="000000"/>
          <w:szCs w:val="21"/>
          <w:highlight w:val="none"/>
          <w:u w:val="single"/>
        </w:rPr>
        <w:t xml:space="preserve">“仪征市政府采购网”、“扬州市政府采购网”、“</w:t>
      </w:r>
      <w:r>
        <w:rPr>
          <w:rFonts w:hint="eastAsia" w:ascii="宋体" w:hAnsi="宋体" w:cs="宋体"/>
          <w:color w:val="000000"/>
          <w:szCs w:val="21"/>
          <w:highlight w:val="none"/>
          <w:u w:val="single"/>
          <w:lang w:eastAsia="zh-CN"/>
        </w:rPr>
        <w:t xml:space="preserve">江苏政府采购网</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中国政府采购网</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none"/>
        </w:rPr>
        <w:t xml:space="preserve">自行免费下载</w:t>
      </w:r>
      <w:r>
        <w:rPr>
          <w:rFonts w:hint="eastAsia" w:ascii="宋体" w:hAnsi="宋体" w:cs="宋体"/>
          <w:color w:val="000000"/>
          <w:highlight w:val="none"/>
        </w:rPr>
        <w:t xml:space="preserve">招标文件</w:t>
      </w:r>
      <w:r>
        <w:rPr>
          <w:rFonts w:hint="eastAsia" w:ascii="宋体" w:hAnsi="宋体" w:cs="宋体"/>
          <w:color w:val="000000"/>
          <w:szCs w:val="21"/>
          <w:highlight w:val="none"/>
        </w:rPr>
        <w:t xml:space="preserve">，并于</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7月10日09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00</w:t>
      </w:r>
      <w:r>
        <w:rPr>
          <w:rFonts w:hint="eastAsia" w:ascii="宋体" w:hAnsi="宋体" w:cs="宋体"/>
          <w:color w:val="000000"/>
          <w:szCs w:val="21"/>
          <w:highlight w:val="none"/>
          <w:u w:val="single"/>
        </w:rPr>
        <w:t xml:space="preserve">分</w:t>
      </w:r>
      <w:r>
        <w:rPr>
          <w:rFonts w:hint="eastAsia" w:ascii="宋体" w:hAnsi="宋体" w:cs="宋体"/>
          <w:bCs/>
          <w:color w:val="000000"/>
          <w:szCs w:val="21"/>
          <w:highlight w:val="none"/>
        </w:rPr>
        <w:t xml:space="preserve">（北京时间）前递交</w:t>
      </w:r>
      <w:r>
        <w:rPr>
          <w:rFonts w:hint="eastAsia" w:ascii="宋体" w:hAnsi="宋体" w:cs="宋体"/>
          <w:bCs/>
          <w:color w:val="000000"/>
          <w:highlight w:val="none"/>
        </w:rPr>
        <w:t xml:space="preserve">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5"/>
        <w:spacing w:before="0" w:after="0" w:line="360" w:lineRule="auto"/>
        <w:rPr>
          <w:rFonts w:hint="eastAsia" w:ascii="宋体" w:hAnsi="宋体" w:cs="宋体"/>
          <w:bCs w:val="0"/>
          <w:color w:val="000000"/>
          <w:sz w:val="21"/>
          <w:szCs w:val="21"/>
          <w:highlight w:val="none"/>
        </w:rPr>
      </w:pPr>
      <w:r/>
      <w:bookmarkStart w:id="2" w:name="_Toc17809"/>
      <w:r/>
      <w:bookmarkStart w:id="3" w:name="_Toc23097"/>
      <w:r/>
      <w:bookmarkStart w:id="4" w:name="_Toc3157"/>
      <w:r/>
      <w:bookmarkStart w:id="5" w:name="_Toc25098"/>
      <w:r/>
      <w:bookmarkStart w:id="6" w:name="_Toc17755"/>
      <w:r/>
      <w:bookmarkStart w:id="7" w:name="_Toc5486"/>
      <w:r>
        <w:rPr>
          <w:rFonts w:hint="eastAsia" w:ascii="宋体" w:hAnsi="宋体" w:cs="宋体"/>
          <w:bCs w:val="0"/>
          <w:color w:val="000000"/>
          <w:sz w:val="21"/>
          <w:szCs w:val="21"/>
          <w:highlight w:val="none"/>
        </w:rPr>
        <w:t xml:space="preserve">一、项目基本情况</w:t>
      </w:r>
      <w:bookmarkEnd w:id="2"/>
      <w:r/>
      <w:bookmarkEnd w:id="3"/>
      <w:r/>
      <w:bookmarkEnd w:id="4"/>
      <w:r/>
      <w:bookmarkEnd w:id="5"/>
      <w:r/>
      <w:bookmarkEnd w:id="6"/>
      <w:r/>
      <w:bookmarkEnd w:id="7"/>
      <w:r>
        <w:rPr>
          <w:rFonts w:hint="eastAsia" w:ascii="宋体" w:hAnsi="宋体" w:cs="宋体"/>
          <w:bCs w:val="0"/>
          <w:color w:val="000000"/>
          <w:sz w:val="21"/>
          <w:szCs w:val="21"/>
          <w:highlight w:val="none"/>
        </w:rPr>
      </w:r>
      <w:r/>
    </w:p>
    <w:p>
      <w:pPr>
        <w:pStyle w:val="973"/>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1.项目编号：</w:t>
      </w:r>
      <w:r>
        <w:rPr>
          <w:rFonts w:hint="eastAsia" w:ascii="宋体" w:hAnsi="宋体"/>
          <w:color w:val="000000"/>
          <w:highlight w:val="none"/>
          <w:lang w:eastAsia="zh-CN"/>
        </w:rPr>
        <w:t xml:space="preserve">JSZC-321081-BYGC-G2026-0008</w:t>
      </w:r>
      <w:r>
        <w:rPr>
          <w:rFonts w:ascii="宋体" w:hAnsi="宋体" w:eastAsia="宋体" w:cs="宋体"/>
          <w:color w:val="000000"/>
          <w:szCs w:val="21"/>
          <w:highlight w:val="none"/>
          <w:lang w:val="en-US" w:eastAsia="zh-CN"/>
        </w:rPr>
      </w:r>
      <w:r/>
    </w:p>
    <w:p>
      <w:pPr>
        <w:pStyle w:val="973"/>
        <w:ind w:firstLine="420"/>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2.项目名称：</w:t>
      </w:r>
      <w:r>
        <w:rPr>
          <w:rFonts w:hint="eastAsia" w:ascii="宋体" w:hAnsi="宋体" w:eastAsia="宋体" w:cs="宋体"/>
          <w:color w:val="000000"/>
          <w:szCs w:val="21"/>
          <w:highlight w:val="none"/>
          <w:u w:val="none"/>
          <w:lang w:eastAsia="zh-CN"/>
        </w:rPr>
        <w:t xml:space="preserve">仪征市排水智能化系统运维项目</w:t>
      </w:r>
      <w:r>
        <w:rPr>
          <w:rFonts w:hint="eastAsia" w:ascii="宋体" w:hAnsi="宋体" w:eastAsia="宋体" w:cs="宋体"/>
          <w:color w:val="000000"/>
          <w:szCs w:val="21"/>
          <w:highlight w:val="none"/>
          <w:u w:val="single"/>
          <w:lang w:eastAsia="zh-CN"/>
        </w:rPr>
      </w:r>
      <w:r/>
    </w:p>
    <w:p>
      <w:pPr>
        <w:pStyle w:val="97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3.预算金额：</w:t>
      </w:r>
      <w:r>
        <w:rPr>
          <w:rFonts w:hint="eastAsia" w:ascii="宋体" w:hAnsi="宋体" w:eastAsia="宋体" w:cs="宋体"/>
          <w:szCs w:val="22"/>
          <w:highlight w:val="none"/>
          <w:lang w:val="en-US" w:eastAsia="zh-CN"/>
        </w:rPr>
        <w:t xml:space="preserve">474.09285</w:t>
      </w: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p>
      <w:pPr>
        <w:pStyle w:val="97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lang w:val="en-US" w:eastAsia="zh-CN"/>
        </w:rPr>
        <w:t xml:space="preserve">474.09285</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lang w:val="zh-CN"/>
        </w:rPr>
        <w:t xml:space="preserve">报价超过最高限价的为无效报价，按照无效响应处理。</w:t>
      </w:r>
      <w:r>
        <w:rPr>
          <w:rFonts w:hint="eastAsia" w:ascii="宋体" w:hAnsi="宋体" w:eastAsia="宋体" w:cs="宋体"/>
          <w:color w:val="000000"/>
          <w:szCs w:val="21"/>
          <w:highlight w:val="none"/>
          <w:lang w:val="zh-CN"/>
        </w:rPr>
      </w:r>
      <w:r/>
    </w:p>
    <w:p>
      <w:pPr>
        <w:pStyle w:val="973"/>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采购需求：见招标文件第四章</w:t>
      </w:r>
      <w:r>
        <w:rPr>
          <w:rFonts w:hint="eastAsia" w:ascii="宋体" w:hAnsi="宋体" w:cs="宋体"/>
          <w:color w:val="000000"/>
          <w:szCs w:val="21"/>
          <w:highlight w:val="none"/>
          <w:u w:val="single"/>
        </w:rPr>
      </w:r>
      <w:r/>
    </w:p>
    <w:p>
      <w:pPr>
        <w:pStyle w:val="973"/>
        <w:ind w:firstLine="42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val="en-US" w:eastAsia="zh-CN"/>
        </w:rPr>
        <w:t xml:space="preserve">自合同签订之日起，为期3年，其中平台建设期6个月（约180天）。</w:t>
      </w:r>
      <w:r>
        <w:rPr>
          <w:rFonts w:ascii="宋体" w:hAnsi="宋体" w:eastAsia="宋体" w:cs="宋体"/>
          <w:color w:val="000000"/>
          <w:sz w:val="21"/>
          <w:szCs w:val="21"/>
          <w:highlight w:val="none"/>
          <w:lang w:val="en-US" w:eastAsia="zh-CN"/>
        </w:rPr>
      </w:r>
      <w:r/>
    </w:p>
    <w:p>
      <w:pPr>
        <w:pStyle w:val="97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接受</w:t>
      </w:r>
      <w:r>
        <w:rPr>
          <w:rFonts w:hint="eastAsia" w:ascii="宋体" w:hAnsi="宋体" w:cs="宋体"/>
          <w:color w:val="000000"/>
          <w:szCs w:val="21"/>
          <w:highlight w:val="none"/>
        </w:rPr>
        <w:t xml:space="preserve">联合体投标。</w:t>
      </w:r>
      <w:r>
        <w:rPr>
          <w:rFonts w:hint="eastAsia" w:ascii="宋体" w:hAnsi="宋体" w:cs="宋体"/>
          <w:color w:val="000000"/>
          <w:szCs w:val="21"/>
          <w:highlight w:val="none"/>
        </w:rPr>
      </w:r>
      <w:r/>
    </w:p>
    <w:p>
      <w:pPr>
        <w:pStyle w:val="97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进口产品投标。</w:t>
      </w:r>
      <w:r>
        <w:rPr>
          <w:rFonts w:hint="eastAsia" w:ascii="宋体" w:hAnsi="宋体" w:cs="宋体"/>
          <w:color w:val="000000"/>
          <w:szCs w:val="21"/>
          <w:highlight w:val="none"/>
        </w:rPr>
      </w:r>
      <w:r/>
    </w:p>
    <w:p>
      <w:pPr>
        <w:pStyle w:val="975"/>
        <w:spacing w:before="0" w:after="0" w:line="360" w:lineRule="auto"/>
        <w:rPr>
          <w:rFonts w:hint="eastAsia" w:ascii="宋体" w:hAnsi="宋体" w:cs="宋体"/>
          <w:bCs w:val="0"/>
          <w:color w:val="000000"/>
          <w:sz w:val="21"/>
          <w:szCs w:val="21"/>
          <w:highlight w:val="none"/>
        </w:rPr>
      </w:pPr>
      <w:r/>
      <w:bookmarkStart w:id="8" w:name="_Toc4449"/>
      <w:r/>
      <w:bookmarkStart w:id="9" w:name="_Toc28449"/>
      <w:r/>
      <w:bookmarkStart w:id="10" w:name="_Toc10656"/>
      <w:r/>
      <w:bookmarkStart w:id="11" w:name="_Toc7042"/>
      <w:r/>
      <w:bookmarkStart w:id="12" w:name="_Toc16758"/>
      <w:r/>
      <w:bookmarkStart w:id="13" w:name="_Toc17738"/>
      <w:r>
        <w:rPr>
          <w:rFonts w:hint="eastAsia" w:ascii="宋体" w:hAnsi="宋体" w:cs="宋体"/>
          <w:bCs w:val="0"/>
          <w:color w:val="000000"/>
          <w:sz w:val="21"/>
          <w:szCs w:val="21"/>
          <w:highlight w:val="none"/>
        </w:rPr>
        <w:t xml:space="preserve">二、申请人的资格要求：</w:t>
      </w:r>
      <w:bookmarkEnd w:id="8"/>
      <w:r/>
      <w:bookmarkEnd w:id="9"/>
      <w:r/>
      <w:bookmarkEnd w:id="10"/>
      <w:r/>
      <w:bookmarkEnd w:id="11"/>
      <w:r/>
      <w:bookmarkEnd w:id="12"/>
      <w:r/>
      <w:bookmarkEnd w:id="13"/>
      <w:r>
        <w:rPr>
          <w:rFonts w:hint="eastAsia" w:ascii="宋体" w:hAnsi="宋体" w:cs="宋体"/>
          <w:bCs w:val="0"/>
          <w:color w:val="000000"/>
          <w:sz w:val="21"/>
          <w:szCs w:val="21"/>
          <w:highlight w:val="none"/>
        </w:rPr>
      </w:r>
      <w:r/>
    </w:p>
    <w:p>
      <w:pPr>
        <w:pStyle w:val="97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973"/>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973"/>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1.2 依法缴纳税收和社会保障资金的相关材料</w:t>
      </w:r>
      <w:r>
        <w:rPr>
          <w:rFonts w:hint="eastAsia" w:ascii="宋体" w:hAnsi="宋体" w:cs="宋体"/>
          <w:b/>
          <w:bCs/>
          <w:i/>
          <w:iCs/>
          <w:color w:val="000000"/>
          <w:szCs w:val="21"/>
          <w:highlight w:val="none"/>
          <w:u w:val="single"/>
        </w:rPr>
        <w:t xml:space="preserve">（提供提交投标文件截止时间前</w:t>
      </w:r>
      <w:r>
        <w:rPr>
          <w:rFonts w:hint="eastAsia" w:ascii="宋体" w:hAnsi="宋体" w:cs="宋体"/>
          <w:b/>
          <w:bCs/>
          <w:i/>
          <w:iCs/>
          <w:color w:val="000000"/>
          <w:szCs w:val="21"/>
          <w:highlight w:val="none"/>
          <w:u w:val="single"/>
          <w:lang w:val="en-US" w:eastAsia="zh-CN"/>
        </w:rPr>
        <w:t xml:space="preserve">三个月</w:t>
      </w:r>
      <w:r>
        <w:rPr>
          <w:rFonts w:hint="eastAsia" w:ascii="宋体" w:hAnsi="宋体" w:cs="宋体"/>
          <w:b/>
          <w:bCs/>
          <w:i/>
          <w:iCs/>
          <w:color w:val="000000"/>
          <w:szCs w:val="21"/>
          <w:highlight w:val="none"/>
          <w:u w:val="single"/>
        </w:rPr>
        <w:t xml:space="preserve">内任意一个月依法缴纳税收及缴纳社会保障资金的证明材料。投标人依法享受缓缴、免缴税收、社会保障资金的提供证明材料。）</w:t>
      </w:r>
      <w:r>
        <w:rPr>
          <w:rFonts w:hint="eastAsia" w:ascii="宋体" w:hAnsi="宋体" w:cs="宋体"/>
          <w:b/>
          <w:bCs/>
          <w:i/>
          <w:iCs/>
          <w:color w:val="000000"/>
          <w:szCs w:val="21"/>
          <w:highlight w:val="none"/>
          <w:u w:val="single"/>
        </w:rPr>
      </w:r>
      <w:r/>
    </w:p>
    <w:p>
      <w:pPr>
        <w:pStyle w:val="973"/>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 上一年度的财务报告情况</w:t>
      </w:r>
      <w:r>
        <w:rPr>
          <w:rFonts w:hint="eastAsia" w:ascii="宋体" w:hAnsi="宋体" w:cs="宋体"/>
          <w:b/>
          <w:bCs/>
          <w:i/>
          <w:iCs/>
          <w:color w:val="000000"/>
          <w:szCs w:val="21"/>
          <w:highlight w:val="none"/>
          <w:u w:val="single"/>
        </w:rPr>
        <w:t xml:space="preserve">（成立不满一年不需提供）</w:t>
      </w:r>
      <w:r>
        <w:rPr>
          <w:rFonts w:hint="eastAsia" w:ascii="宋体" w:hAnsi="宋体" w:cs="宋体"/>
          <w:b/>
          <w:bCs/>
          <w:i/>
          <w:iCs/>
          <w:color w:val="000000"/>
          <w:szCs w:val="21"/>
          <w:highlight w:val="none"/>
          <w:u w:val="single"/>
        </w:rPr>
      </w:r>
      <w:r/>
    </w:p>
    <w:p>
      <w:pPr>
        <w:pStyle w:val="973"/>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具备履行合同所必需的设备和专业技术能力的书面声明</w:t>
      </w:r>
      <w:r>
        <w:rPr>
          <w:rFonts w:hint="eastAsia" w:ascii="宋体" w:hAnsi="宋体" w:cs="宋体"/>
          <w:i/>
          <w:iCs/>
          <w:color w:val="000000"/>
          <w:szCs w:val="21"/>
          <w:highlight w:val="none"/>
          <w:u w:val="single"/>
        </w:rPr>
      </w:r>
      <w:r/>
    </w:p>
    <w:p>
      <w:pPr>
        <w:pStyle w:val="973"/>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 参加本次政府采购活动前3年内在经营活动中没有重大违法记录的书面声明</w:t>
      </w:r>
      <w:r>
        <w:rPr>
          <w:rFonts w:hint="eastAsia" w:ascii="宋体" w:hAnsi="宋体" w:cs="宋体"/>
          <w:i/>
          <w:iCs/>
          <w:color w:val="000000"/>
          <w:szCs w:val="21"/>
          <w:highlight w:val="none"/>
          <w:u w:val="single"/>
        </w:rPr>
      </w:r>
      <w:r/>
    </w:p>
    <w:p>
      <w:pPr>
        <w:pStyle w:val="973"/>
        <w:ind w:firstLine="42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1.6</w:t>
      </w:r>
      <w:r>
        <w:rPr>
          <w:rFonts w:hint="eastAsia" w:ascii="宋体" w:hAnsi="宋体" w:eastAsia="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i/>
          <w:iCs/>
          <w:color w:val="000000"/>
          <w:szCs w:val="21"/>
          <w:highlight w:val="none"/>
          <w:u w:val="single"/>
        </w:rPr>
        <w:t xml:space="preserve">（</w:t>
      </w:r>
      <w:r>
        <w:rPr>
          <w:rFonts w:hint="eastAsia" w:ascii="宋体" w:hAnsi="宋体" w:cs="宋体"/>
          <w:b/>
          <w:bCs/>
          <w:i/>
          <w:iCs/>
          <w:color w:val="000000"/>
          <w:szCs w:val="21"/>
          <w:highlight w:val="none"/>
          <w:u w:val="single"/>
          <w:lang w:val="en-US" w:eastAsia="zh-CN"/>
        </w:rPr>
        <w:t xml:space="preserve">提供网页截图</w:t>
      </w:r>
      <w:r>
        <w:rPr>
          <w:rFonts w:hint="eastAsia" w:ascii="宋体" w:hAnsi="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973"/>
        <w:ind w:firstLine="420"/>
        <w:keepLines w:val="0"/>
        <w:keepNext w:val="0"/>
        <w:pageBreakBefore w:val="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1.7</w:t>
      </w:r>
      <w:r>
        <w:rPr>
          <w:rFonts w:hint="eastAsia" w:ascii="宋体" w:hAnsi="宋体" w:eastAsia="宋体" w:cs="宋体"/>
          <w:i/>
          <w:iCs/>
          <w:color w:val="000000"/>
          <w:szCs w:val="21"/>
          <w:highlight w:val="none"/>
          <w:u w:val="single"/>
        </w:rPr>
        <w:t xml:space="preserve">供应商信用承诺函</w:t>
      </w:r>
      <w:r>
        <w:rPr>
          <w:rFonts w:hint="eastAsia" w:ascii="宋体" w:hAnsi="宋体" w:eastAsia="宋体" w:cs="宋体"/>
          <w:i/>
          <w:iCs/>
          <w:color w:val="000000"/>
          <w:szCs w:val="21"/>
          <w:highlight w:val="none"/>
          <w:u w:val="single"/>
        </w:rPr>
      </w:r>
      <w:r/>
    </w:p>
    <w:p>
      <w:pPr>
        <w:pStyle w:val="973"/>
        <w:ind w:firstLine="420"/>
        <w:spacing w:line="360" w:lineRule="auto"/>
        <w:shd w:val="clear" w:color="auto" w:fill="auto"/>
        <w:tabs>
          <w:tab w:val="left" w:pos="266" w:leader="none"/>
        </w:tabs>
        <w:rPr>
          <w:rFonts w:hint="eastAsia" w:ascii="宋体" w:hAnsi="宋体" w:eastAsia="宋体" w:cs="宋体"/>
          <w:i/>
          <w:iCs/>
          <w:color w:val="000000"/>
          <w:szCs w:val="21"/>
          <w:highlight w:val="none"/>
          <w:u w:val="single"/>
          <w:lang w:eastAsia="zh-CN"/>
        </w:rPr>
      </w:pPr>
      <w:r>
        <w:rPr>
          <w:rFonts w:hint="eastAsia" w:ascii="宋体" w:hAnsi="宋体" w:eastAsia="宋体" w:cs="宋体"/>
          <w:i/>
          <w:iCs/>
          <w:color w:val="000000"/>
          <w:szCs w:val="21"/>
          <w:highlight w:val="none"/>
          <w:u w:val="single"/>
          <w:lang w:val="en-US" w:eastAsia="zh-CN"/>
        </w:rPr>
        <w:t xml:space="preserve">1.8</w:t>
      </w:r>
      <w:r>
        <w:rPr>
          <w:rFonts w:hint="eastAsia" w:ascii="宋体" w:hAnsi="宋体" w:eastAsia="宋体" w:cs="宋体"/>
          <w:i/>
          <w:iCs/>
          <w:color w:val="000000"/>
          <w:szCs w:val="21"/>
          <w:highlight w:val="none"/>
          <w:u w:val="single"/>
        </w:rPr>
        <w:t xml:space="preserve">若以联合体形式参加本项目投标，请提供《联合体协议》</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b/>
          <w:bCs/>
          <w:i/>
          <w:iCs/>
          <w:color w:val="000000"/>
          <w:szCs w:val="21"/>
          <w:highlight w:val="none"/>
          <w:u w:val="single"/>
          <w:lang w:val="en-US" w:eastAsia="zh-CN"/>
        </w:rPr>
        <w:t xml:space="preserve">上述1.1-1.7项联合体各方均需提供）</w:t>
      </w:r>
      <w:r>
        <w:rPr>
          <w:rFonts w:hint="eastAsia" w:ascii="宋体" w:hAnsi="宋体" w:eastAsia="宋体" w:cs="宋体"/>
          <w:i/>
          <w:iCs/>
          <w:color w:val="000000"/>
          <w:szCs w:val="21"/>
          <w:highlight w:val="none"/>
          <w:u w:val="single"/>
          <w:lang w:eastAsia="zh-CN"/>
        </w:rPr>
      </w:r>
      <w:r/>
    </w:p>
    <w:p>
      <w:pPr>
        <w:pStyle w:val="973"/>
        <w:ind w:firstLine="420"/>
        <w:keepLines w:val="0"/>
        <w:keepNext w:val="0"/>
        <w:pageBreakBefore w:val="0"/>
        <w:spacing w:line="360" w:lineRule="auto"/>
        <w:widowControl w:val="off"/>
        <w:rPr>
          <w:rFonts w:hint="eastAsia" w:eastAsia="宋体"/>
          <w:color w:val="000000"/>
          <w:highlight w:val="none"/>
          <w:lang w:val="en-US" w:eastAsia="zh-CN"/>
        </w:rPr>
      </w:pPr>
      <w:r>
        <w:rPr>
          <w:rFonts w:hint="eastAsia" w:ascii="宋体" w:hAnsi="宋体" w:cs="宋体"/>
          <w:color w:val="000000"/>
          <w:szCs w:val="21"/>
          <w:highlight w:val="none"/>
        </w:rPr>
        <w:t xml:space="preserve">2.落实政府采购政策需满足的资格要求：</w:t>
      </w:r>
      <w:r>
        <w:rPr>
          <w:rFonts w:hint="eastAsia" w:ascii="宋体" w:hAnsi="宋体" w:cs="宋体"/>
          <w:b w:val="0"/>
          <w:bCs w:val="0"/>
          <w:i/>
          <w:iCs/>
          <w:color w:val="000000"/>
          <w:szCs w:val="21"/>
          <w:highlight w:val="none"/>
          <w:u w:val="single"/>
          <w:lang w:val="en-US" w:eastAsia="zh-CN"/>
        </w:rPr>
        <w:t xml:space="preserve">无。</w:t>
      </w:r>
      <w:r>
        <w:rPr>
          <w:rFonts w:hint="eastAsia" w:eastAsia="宋体"/>
          <w:color w:val="000000"/>
          <w:highlight w:val="none"/>
          <w:lang w:val="en-US" w:eastAsia="zh-CN"/>
        </w:rPr>
      </w:r>
      <w:r/>
    </w:p>
    <w:p>
      <w:pPr>
        <w:pStyle w:val="973"/>
        <w:ind w:firstLine="42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color w:val="000000"/>
          <w:szCs w:val="21"/>
          <w:highlight w:val="none"/>
        </w:rPr>
        <w:t xml:space="preserve">3.本项目的特定资格要求：</w:t>
      </w:r>
      <w:bookmarkStart w:id="14" w:name="_Toc15918"/>
      <w:r/>
      <w:bookmarkStart w:id="15" w:name="_Toc12444"/>
      <w:r/>
      <w:bookmarkStart w:id="16" w:name="_Toc12592"/>
      <w:r/>
      <w:bookmarkStart w:id="17" w:name="_Toc21130"/>
      <w:r>
        <w:rPr>
          <w:rFonts w:hint="eastAsia" w:ascii="宋体" w:hAnsi="宋体" w:eastAsia="宋体" w:cs="宋体"/>
          <w:b w:val="0"/>
          <w:bCs w:val="0"/>
          <w:i/>
          <w:iCs/>
          <w:color w:val="000000"/>
          <w:szCs w:val="21"/>
          <w:highlight w:val="none"/>
          <w:u w:val="single"/>
          <w:lang w:val="en-US" w:eastAsia="zh-CN"/>
        </w:rPr>
        <w:t xml:space="preserve">无。</w:t>
      </w:r>
      <w:r>
        <w:rPr>
          <w:rFonts w:hint="eastAsia" w:ascii="宋体" w:hAnsi="宋体" w:eastAsia="宋体" w:cs="宋体"/>
          <w:b w:val="0"/>
          <w:bCs w:val="0"/>
          <w:sz w:val="24"/>
          <w:szCs w:val="24"/>
          <w:highlight w:val="none"/>
          <w:lang w:val="en-US" w:eastAsia="zh-CN"/>
        </w:rPr>
      </w:r>
      <w:r/>
    </w:p>
    <w:p>
      <w:pPr>
        <w:pStyle w:val="973"/>
        <w:ind w:firstLine="422"/>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cs="宋体"/>
          <w:b/>
          <w:bCs w:val="0"/>
          <w:color w:val="000000"/>
          <w:sz w:val="21"/>
          <w:szCs w:val="21"/>
          <w:highlight w:val="none"/>
        </w:rPr>
        <w:t xml:space="preserve">三、获取</w:t>
      </w:r>
      <w:bookmarkEnd w:id="14"/>
      <w:r/>
      <w:bookmarkEnd w:id="15"/>
      <w:r>
        <w:rPr>
          <w:rFonts w:hint="eastAsia" w:ascii="宋体" w:hAnsi="宋体" w:cs="宋体"/>
          <w:b/>
          <w:bCs w:val="0"/>
          <w:color w:val="000000"/>
          <w:sz w:val="21"/>
          <w:szCs w:val="21"/>
          <w:highlight w:val="none"/>
        </w:rPr>
        <w:t xml:space="preserve">招标文件</w:t>
      </w:r>
      <w:bookmarkEnd w:id="16"/>
      <w:r/>
      <w:bookmarkEnd w:id="17"/>
      <w:r>
        <w:rPr>
          <w:rFonts w:hint="eastAsia" w:ascii="宋体" w:hAnsi="宋体" w:cs="宋体"/>
          <w:b/>
          <w:bCs w:val="0"/>
          <w:color w:val="000000"/>
          <w:sz w:val="21"/>
          <w:szCs w:val="21"/>
          <w:highlight w:val="none"/>
        </w:rPr>
      </w:r>
      <w:r/>
    </w:p>
    <w:p>
      <w:pPr>
        <w:pStyle w:val="973"/>
        <w:ind w:firstLine="420"/>
        <w:keepLines w:val="0"/>
        <w:keepNext w:val="0"/>
        <w:pageBreakBefore w:val="0"/>
        <w:spacing w:line="360" w:lineRule="auto"/>
        <w:widowControl w:val="off"/>
        <w:rPr>
          <w:rFonts w:hint="eastAsia" w:ascii="宋体" w:hAnsi="宋体" w:cs="宋体"/>
          <w:b w:val="0"/>
          <w:bCs w:val="0"/>
          <w:color w:val="000000"/>
          <w:highlight w:val="none"/>
        </w:rPr>
      </w:pPr>
      <w:r/>
      <w:bookmarkStart w:id="18" w:name="_Toc14561"/>
      <w:r/>
      <w:bookmarkStart w:id="19" w:name="_Toc17733"/>
      <w:r>
        <w:rPr>
          <w:rFonts w:hint="eastAsia" w:ascii="宋体" w:hAnsi="宋体" w:cs="宋体"/>
          <w:b w:val="0"/>
          <w:bCs w:val="0"/>
          <w:color w:val="000000"/>
          <w:highlight w:val="none"/>
        </w:rPr>
        <w:t xml:space="preserve">1.时间：自招标文件公告发布之日起5个工作日</w:t>
      </w:r>
      <w:r>
        <w:rPr>
          <w:rFonts w:hint="eastAsia" w:ascii="宋体" w:hAnsi="宋体" w:cs="宋体"/>
          <w:highlight w:val="none"/>
        </w:rPr>
        <w:t xml:space="preserve">。</w:t>
      </w:r>
      <w:r>
        <w:rPr>
          <w:rFonts w:hint="eastAsia" w:ascii="宋体" w:hAnsi="宋体" w:cs="宋体"/>
          <w:b w:val="0"/>
          <w:bCs w:val="0"/>
          <w:color w:val="000000"/>
          <w:highlight w:val="none"/>
        </w:rPr>
      </w:r>
      <w:r/>
    </w:p>
    <w:p>
      <w:pPr>
        <w:pStyle w:val="973"/>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2.地点：</w:t>
      </w:r>
      <w:r>
        <w:rPr>
          <w:rFonts w:hint="eastAsia" w:ascii="宋体" w:hAnsi="宋体" w:cs="宋体"/>
          <w:b w:val="0"/>
          <w:bCs w:val="0"/>
          <w:color w:val="000000"/>
          <w:highlight w:val="none"/>
          <w:u w:val="single"/>
        </w:rPr>
        <w:t xml:space="preserve">“仪征市政府采购网”、“扬州市政府采购网”、“</w:t>
      </w:r>
      <w:r>
        <w:rPr>
          <w:rFonts w:hint="eastAsia" w:ascii="宋体" w:hAnsi="宋体" w:cs="宋体"/>
          <w:b w:val="0"/>
          <w:bCs w:val="0"/>
          <w:color w:val="000000"/>
          <w:highlight w:val="none"/>
          <w:u w:val="single"/>
          <w:lang w:eastAsia="zh-CN"/>
        </w:rPr>
        <w:t xml:space="preserve">江苏政府采购网</w:t>
      </w:r>
      <w:r>
        <w:rPr>
          <w:rFonts w:hint="eastAsia" w:ascii="宋体" w:hAnsi="宋体" w:cs="宋体"/>
          <w:b w:val="0"/>
          <w:bCs w:val="0"/>
          <w:color w:val="000000"/>
          <w:highlight w:val="none"/>
          <w:u w:val="single"/>
        </w:rPr>
        <w:t xml:space="preserve">”</w:t>
      </w:r>
      <w:r>
        <w:rPr>
          <w:rFonts w:hint="eastAsia" w:ascii="宋体" w:hAnsi="宋体" w:cs="宋体"/>
          <w:b w:val="0"/>
          <w:bCs w:val="0"/>
          <w:color w:val="000000"/>
          <w:highlight w:val="none"/>
          <w:u w:val="single"/>
          <w:lang w:eastAsia="zh-CN"/>
        </w:rPr>
        <w:t xml:space="preserve">、</w:t>
      </w:r>
      <w:r>
        <w:rPr>
          <w:rFonts w:hint="eastAsia" w:ascii="宋体" w:hAnsi="宋体" w:cs="宋体"/>
          <w:b w:val="0"/>
          <w:bCs w:val="0"/>
          <w:color w:val="000000"/>
          <w:highlight w:val="none"/>
          <w:u w:val="single"/>
        </w:rPr>
        <w:t xml:space="preserve">“中国政府采购网”自行免费下载招标文件。</w:t>
      </w:r>
      <w:r>
        <w:rPr>
          <w:rFonts w:hint="eastAsia" w:ascii="宋体" w:hAnsi="宋体" w:cs="宋体"/>
          <w:b w:val="0"/>
          <w:bCs w:val="0"/>
          <w:color w:val="000000"/>
          <w:highlight w:val="none"/>
          <w:u w:val="single"/>
        </w:rPr>
      </w:r>
      <w:r/>
    </w:p>
    <w:p>
      <w:pPr>
        <w:pStyle w:val="973"/>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3.获取方式：</w:t>
      </w:r>
      <w:r>
        <w:rPr>
          <w:rFonts w:hint="eastAsia" w:ascii="宋体" w:hAnsi="宋体" w:cs="宋体"/>
          <w:b w:val="0"/>
          <w:bCs w:val="0"/>
          <w:color w:val="000000"/>
          <w:highlight w:val="none"/>
          <w:u w:val="single"/>
        </w:rPr>
        <w:t xml:space="preserve">本项目采用网上注册登记方式。</w:t>
      </w:r>
      <w:r>
        <w:rPr>
          <w:rFonts w:hint="eastAsia" w:ascii="宋体" w:hAnsi="宋体" w:cs="宋体"/>
          <w:b w:val="0"/>
          <w:bCs w:val="0"/>
          <w:color w:val="000000"/>
          <w:highlight w:val="none"/>
          <w:u w:val="single"/>
        </w:rPr>
      </w:r>
      <w:r/>
    </w:p>
    <w:p>
      <w:pPr>
        <w:pStyle w:val="973"/>
        <w:ind w:firstLine="422"/>
        <w:spacing w:line="360" w:lineRule="auto"/>
        <w:tabs>
          <w:tab w:val="left" w:pos="266" w:leader="none"/>
        </w:tabs>
        <w:rPr>
          <w:rFonts w:ascii="宋体" w:hAnsi="宋体" w:cs="宋体"/>
          <w:b/>
          <w:bCs/>
          <w:color w:val="000000"/>
          <w:highlight w:val="none"/>
        </w:rPr>
      </w:pPr>
      <w:r/>
      <w:bookmarkEnd w:id="18"/>
      <w:r/>
      <w:bookmarkEnd w:id="19"/>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973"/>
        <w:ind w:firstLine="420"/>
        <w:spacing w:line="400" w:lineRule="exact"/>
        <w:rPr>
          <w:rFonts w:ascii="宋体" w:hAnsi="宋体"/>
          <w:bCs/>
          <w:color w:val="000000"/>
          <w:szCs w:val="21"/>
          <w:highlight w:val="none"/>
          <w:u w:val="single"/>
        </w:rPr>
      </w:pPr>
      <w:r>
        <w:rPr>
          <w:rFonts w:hint="eastAsia" w:ascii="宋体" w:hAnsi="宋体" w:cs="宋体"/>
          <w:color w:val="000000"/>
          <w:szCs w:val="21"/>
          <w:highlight w:val="none"/>
        </w:rPr>
        <w:t xml:space="preserve">1.截止时间：</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7</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10</w:t>
      </w:r>
      <w:r>
        <w:rPr>
          <w:rFonts w:hint="eastAsia" w:ascii="宋体" w:hAnsi="宋体"/>
          <w:bCs/>
          <w:color w:val="000000"/>
          <w:szCs w:val="21"/>
          <w:highlight w:val="none"/>
          <w:u w:val="single"/>
        </w:rPr>
        <w:t xml:space="preserve">日 09点 00分</w:t>
      </w:r>
      <w:r>
        <w:rPr>
          <w:rFonts w:hint="eastAsia" w:ascii="宋体" w:hAnsi="宋体" w:cs="宋体"/>
          <w:bCs/>
          <w:color w:val="000000"/>
          <w:szCs w:val="21"/>
          <w:highlight w:val="none"/>
        </w:rPr>
        <w:t xml:space="preserve">（北京时间）</w:t>
      </w:r>
      <w:r>
        <w:rPr>
          <w:rFonts w:ascii="宋体" w:hAnsi="宋体"/>
          <w:bCs/>
          <w:color w:val="000000"/>
          <w:szCs w:val="21"/>
          <w:highlight w:val="none"/>
          <w:u w:val="single"/>
        </w:rPr>
      </w:r>
      <w:r/>
    </w:p>
    <w:p>
      <w:pPr>
        <w:pStyle w:val="973"/>
        <w:ind w:firstLine="420"/>
        <w:spacing w:line="400" w:lineRule="exact"/>
        <w:rPr>
          <w:rFonts w:hint="eastAsia" w:ascii="宋体" w:hAnsi="宋体" w:cs="宋体"/>
          <w:bCs/>
          <w:color w:val="000000"/>
          <w:szCs w:val="21"/>
          <w:highlight w:val="none"/>
          <w:u w:val="single"/>
        </w:rPr>
      </w:pPr>
      <w:r>
        <w:rPr>
          <w:rFonts w:hint="eastAsia" w:ascii="宋体" w:hAnsi="宋体"/>
          <w:color w:val="000000"/>
          <w:szCs w:val="21"/>
          <w:highlight w:val="none"/>
        </w:rPr>
        <w:t xml:space="preserve">2.开标地点：</w:t>
      </w:r>
      <w:r>
        <w:rPr>
          <w:rFonts w:hint="eastAsia" w:ascii="宋体" w:hAnsi="宋体"/>
          <w:b/>
          <w:color w:val="000000"/>
          <w:szCs w:val="21"/>
          <w:highlight w:val="none"/>
        </w:rPr>
        <w:t xml:space="preserve">“苏采云”系统（网址：http://jszfcg.jsczt.cn/）“开标大厅”</w:t>
      </w:r>
      <w:r>
        <w:rPr>
          <w:rFonts w:hint="eastAsia" w:ascii="宋体" w:hAnsi="宋体" w:cs="宋体"/>
          <w:bCs/>
          <w:color w:val="000000"/>
          <w:szCs w:val="21"/>
          <w:highlight w:val="none"/>
          <w:u w:val="single"/>
        </w:rPr>
      </w:r>
      <w:r/>
    </w:p>
    <w:p>
      <w:pPr>
        <w:pStyle w:val="973"/>
        <w:ind w:firstLine="422"/>
        <w:spacing w:line="360" w:lineRule="auto"/>
        <w:tabs>
          <w:tab w:val="left" w:pos="266" w:leader="none"/>
        </w:tabs>
        <w:rPr>
          <w:rFonts w:ascii="宋体" w:hAnsi="宋体" w:cs="宋体"/>
          <w:b/>
          <w:bCs/>
          <w:color w:val="000000"/>
          <w:highlight w:val="none"/>
        </w:rPr>
      </w:pPr>
      <w:r/>
      <w:bookmarkStart w:id="20" w:name="_Toc35393625"/>
      <w:r/>
      <w:bookmarkStart w:id="21" w:name="_Toc28359084"/>
      <w:r/>
      <w:bookmarkStart w:id="22" w:name="_Toc28359007"/>
      <w:r/>
      <w:bookmarkStart w:id="23" w:name="_Toc35393794"/>
      <w:r/>
      <w:bookmarkStart w:id="24" w:name="_Toc38985267"/>
      <w:r>
        <w:rPr>
          <w:rFonts w:hint="eastAsia" w:ascii="宋体" w:hAnsi="宋体" w:cs="宋体"/>
          <w:b/>
          <w:bCs/>
          <w:color w:val="000000"/>
          <w:highlight w:val="none"/>
        </w:rPr>
        <w:t xml:space="preserve">五、公告期限</w:t>
      </w:r>
      <w:bookmarkEnd w:id="20"/>
      <w:r/>
      <w:bookmarkEnd w:id="21"/>
      <w:r/>
      <w:bookmarkEnd w:id="22"/>
      <w:r/>
      <w:bookmarkEnd w:id="23"/>
      <w:r/>
      <w:bookmarkEnd w:id="24"/>
      <w:r>
        <w:rPr>
          <w:rFonts w:ascii="宋体" w:hAnsi="宋体" w:cs="宋体"/>
          <w:b/>
          <w:bCs/>
          <w:color w:val="000000"/>
          <w:highlight w:val="none"/>
        </w:rPr>
      </w:r>
      <w:r/>
    </w:p>
    <w:p>
      <w:pPr>
        <w:pStyle w:val="973"/>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自本公告发布之日起5个工作日。</w:t>
      </w:r>
      <w:r>
        <w:rPr>
          <w:rFonts w:hint="eastAsia" w:ascii="宋体" w:hAnsi="宋体"/>
          <w:color w:val="000000"/>
          <w:szCs w:val="21"/>
          <w:highlight w:val="none"/>
        </w:rPr>
      </w:r>
      <w:r/>
    </w:p>
    <w:p>
      <w:pPr>
        <w:pStyle w:val="973"/>
        <w:ind w:firstLine="422"/>
        <w:spacing w:line="360" w:lineRule="auto"/>
        <w:tabs>
          <w:tab w:val="left" w:pos="266" w:leader="none"/>
        </w:tabs>
        <w:rPr>
          <w:rFonts w:ascii="宋体" w:hAnsi="宋体" w:cs="宋体"/>
          <w:b/>
          <w:bCs/>
          <w:color w:val="000000"/>
          <w:highlight w:val="none"/>
        </w:rPr>
      </w:pPr>
      <w:r/>
      <w:bookmarkStart w:id="25" w:name="_Toc24018"/>
      <w:r/>
      <w:bookmarkStart w:id="26" w:name="_Toc2469"/>
      <w:r>
        <w:rPr>
          <w:rFonts w:hint="eastAsia" w:ascii="宋体" w:hAnsi="宋体" w:cs="宋体"/>
          <w:b/>
          <w:bCs/>
          <w:color w:val="000000"/>
          <w:highlight w:val="none"/>
        </w:rPr>
        <w:t xml:space="preserve">六、其他补充事宜</w:t>
      </w:r>
      <w:r>
        <w:rPr>
          <w:rFonts w:ascii="宋体" w:hAnsi="宋体" w:cs="宋体"/>
          <w:b/>
          <w:bCs/>
          <w:color w:val="000000"/>
          <w:highlight w:val="none"/>
        </w:rPr>
      </w:r>
      <w:r/>
    </w:p>
    <w:p>
      <w:pPr>
        <w:pStyle w:val="973"/>
        <w:ind w:firstLine="422"/>
        <w:jc w:val="left"/>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b/>
          <w:bCs/>
          <w:color w:val="000000"/>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3.潜在供应商对采购文件项目需求部分的询问、质疑请向采购人提出，由采购人负责答复。</w:t>
      </w:r>
      <w:r>
        <w:rPr>
          <w:rFonts w:hint="eastAsia" w:ascii="宋体" w:hAnsi="宋体" w:cs="宋体"/>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4.本次采购不收取投标保证金。</w:t>
      </w:r>
      <w:r>
        <w:rPr>
          <w:rFonts w:hint="eastAsia" w:ascii="宋体" w:hAnsi="宋体" w:cs="宋体"/>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5.</w:t>
      </w:r>
      <w:r>
        <w:rPr>
          <w:rFonts w:hint="eastAsia"/>
          <w:color w:val="000000"/>
          <w:sz w:val="19"/>
          <w:szCs w:val="19"/>
          <w:highlight w:val="none"/>
          <w:shd w:val="clear" w:color="auto" w:fill="ffffff"/>
        </w:rPr>
        <w:t xml:space="preserve"> </w:t>
      </w:r>
      <w:r>
        <w:rPr>
          <w:rFonts w:hint="eastAsia" w:ascii="宋体" w:hAnsi="宋体" w:cs="宋体"/>
          <w:b/>
          <w:bCs/>
          <w:color w:val="000000"/>
          <w:szCs w:val="21"/>
          <w:highlight w:val="none"/>
        </w:rPr>
        <w:t xml:space="preserve">有关本次采购的事项若存在变动或修改，敬请及时关注“仪征市政府采购网（zfcg.yizheng.cn）”、“扬州市政府采购网（zfcg.yangzhou.gov.cn）”、“</w:t>
      </w:r>
      <w:r>
        <w:rPr>
          <w:rFonts w:hint="eastAsia" w:ascii="宋体" w:hAnsi="宋体" w:cs="宋体"/>
          <w:b/>
          <w:bCs/>
          <w:color w:val="000000"/>
          <w:szCs w:val="21"/>
          <w:highlight w:val="none"/>
          <w:lang w:eastAsia="zh-CN"/>
        </w:rPr>
        <w:t xml:space="preserve">江苏政府采购网</w:t>
      </w:r>
      <w:r>
        <w:rPr>
          <w:rFonts w:hint="eastAsia" w:ascii="宋体" w:hAnsi="宋体" w:cs="宋体"/>
          <w:b/>
          <w:bCs/>
          <w:color w:val="000000"/>
          <w:szCs w:val="21"/>
          <w:highlight w:val="none"/>
        </w:rPr>
        <w:t xml:space="preserve">（ccgp-jiangsu.gov.cn）”、“中国政府采购网（ccgp.gov.cn）”发布的信息。</w:t>
      </w:r>
      <w:r>
        <w:rPr>
          <w:rFonts w:hint="eastAsia" w:ascii="宋体" w:hAnsi="宋体" w:cs="宋体"/>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6.</w:t>
      </w:r>
      <w:r>
        <w:rPr>
          <w:rFonts w:hint="eastAsia" w:ascii="宋体" w:hAnsi="宋体" w:cs="宋体"/>
          <w:b/>
          <w:bCs/>
          <w:i/>
          <w:color w:val="000000"/>
          <w:szCs w:val="21"/>
          <w:highlight w:val="none"/>
          <w:u w:val="single"/>
        </w:rPr>
        <w:t xml:space="preserve">本项目采购文件中所有斜体下划线部分为实质性条款，如不满足，则为无效投标。</w:t>
      </w:r>
      <w:r>
        <w:rPr>
          <w:rFonts w:hint="eastAsia" w:ascii="宋体" w:hAnsi="宋体" w:cs="宋体"/>
          <w:color w:val="000000"/>
          <w:szCs w:val="21"/>
          <w:highlight w:val="none"/>
        </w:rPr>
      </w:r>
      <w:r/>
    </w:p>
    <w:p>
      <w:pPr>
        <w:pStyle w:val="973"/>
        <w:ind w:firstLine="422"/>
        <w:jc w:val="left"/>
        <w:keepLines w:val="0"/>
        <w:keepNext w:val="0"/>
        <w:pageBreakBefore w:val="0"/>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7.如在开标时间发生系统崩溃等不可预见的情况，造成开评标活动无法正常进行的，将延迟开评标，具体开评标时间另行通知。</w:t>
      </w:r>
      <w:r>
        <w:rPr>
          <w:rFonts w:ascii="宋体" w:hAnsi="宋体" w:cs="宋体"/>
          <w:b/>
          <w:bCs/>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8.潜在供应商访问政府采购管理交易系统（苏采云）的网络地址和方法：</w:t>
      </w:r>
      <w:r>
        <w:rPr>
          <w:rFonts w:hint="eastAsia" w:ascii="宋体" w:hAnsi="宋体" w:cs="宋体"/>
          <w:b/>
          <w:bCs/>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（3）“CA数字证书”的办理材料以及供应商操作手册详见：</w:t>
      </w:r>
      <w:r>
        <w:rPr>
          <w:rFonts w:hint="eastAsia" w:ascii="宋体" w:hAnsi="宋体" w:cs="宋体"/>
          <w:b/>
          <w:bCs/>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http://zfcg.yangzhou.gov.cn/zfcg/xzzx/202309/4d7de1f7865f4a2894fc22bc452f94d8.shtml。</w:t>
      </w:r>
      <w:r>
        <w:rPr>
          <w:rFonts w:hint="eastAsia" w:ascii="宋体" w:hAnsi="宋体" w:cs="宋体"/>
          <w:b/>
          <w:bCs/>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（4）潜在供应商访问“苏采云”系统的网络地址和方法：“苏采云”系统的网址：http://jszfcg.jsczt.cn/。</w:t>
      </w:r>
      <w:r>
        <w:rPr>
          <w:rFonts w:hint="eastAsia" w:ascii="宋体" w:hAnsi="宋体" w:cs="宋体"/>
          <w:b/>
          <w:bCs/>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b/>
          <w:bCs/>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（7）苏采云系统使用谷歌浏览器参与不见面开标。</w:t>
      </w:r>
      <w:r>
        <w:rPr>
          <w:rFonts w:hint="eastAsia" w:ascii="宋体" w:hAnsi="宋体" w:cs="宋体"/>
          <w:b/>
          <w:bCs/>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9.落实好政府采购履约资金扶持政策其他相关政策</w:t>
      </w:r>
      <w:r>
        <w:rPr>
          <w:rFonts w:hint="eastAsia" w:ascii="宋体" w:hAnsi="宋体" w:cs="宋体"/>
          <w:b/>
          <w:bCs/>
          <w:color w:val="000000"/>
          <w:szCs w:val="21"/>
          <w:highlight w:val="none"/>
        </w:rPr>
      </w:r>
      <w:r/>
    </w:p>
    <w:p>
      <w:pPr>
        <w:pStyle w:val="973"/>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（1）中标/成交供应商可凭政府采购合同办理融资贷款，详见江苏政府采购网“政采贷”专栏。</w:t>
      </w:r>
      <w:r>
        <w:rPr>
          <w:rFonts w:hint="eastAsia" w:ascii="宋体" w:hAnsi="宋体" w:cs="宋体"/>
          <w:b/>
          <w:bCs/>
          <w:color w:val="000000"/>
          <w:szCs w:val="21"/>
          <w:highlight w:val="none"/>
        </w:rPr>
      </w:r>
      <w:r/>
    </w:p>
    <w:p>
      <w:pPr>
        <w:pStyle w:val="973"/>
        <w:ind w:firstLine="422"/>
        <w:keepLines w:val="0"/>
        <w:keepNext w:val="0"/>
        <w:pageBreakBefore w:val="0"/>
        <w:spacing w:line="400" w:lineRule="exact"/>
        <w:rPr>
          <w:rFonts w:ascii="宋体" w:hAnsi="宋体" w:cs="宋体"/>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）严格执行政府采购关于支持</w:t>
      </w:r>
      <w:r>
        <w:rPr>
          <w:rFonts w:hint="eastAsia" w:ascii="宋体" w:hAnsi="宋体" w:cs="宋体"/>
          <w:b/>
          <w:bCs/>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color w:val="000000"/>
          <w:szCs w:val="21"/>
          <w:highlight w:val="none"/>
        </w:rPr>
      </w:r>
      <w:r/>
    </w:p>
    <w:p>
      <w:pPr>
        <w:pStyle w:val="973"/>
        <w:ind w:firstLine="422"/>
        <w:spacing w:line="360" w:lineRule="auto"/>
        <w:tabs>
          <w:tab w:val="left" w:pos="266" w:leader="none"/>
        </w:tabs>
        <w:rPr>
          <w:rFonts w:ascii="宋体" w:hAnsi="宋体" w:cs="宋体"/>
          <w:b/>
          <w:bCs/>
          <w:color w:val="000000"/>
          <w:highlight w:val="none"/>
        </w:rPr>
      </w:pPr>
      <w:r/>
      <w:bookmarkEnd w:id="25"/>
      <w:r/>
      <w:bookmarkEnd w:id="26"/>
      <w:r/>
      <w:bookmarkStart w:id="27" w:name="_Toc28359085"/>
      <w:r/>
      <w:bookmarkStart w:id="28" w:name="_Toc28359008"/>
      <w:r/>
      <w:bookmarkStart w:id="29" w:name="_Toc35393796"/>
      <w:r/>
      <w:bookmarkStart w:id="30" w:name="_Toc38985269"/>
      <w:r/>
      <w:bookmarkStart w:id="31" w:name="_Toc35393627"/>
      <w:r>
        <w:rPr>
          <w:rFonts w:hint="eastAsia" w:ascii="宋体" w:hAnsi="宋体" w:cs="宋体"/>
          <w:b/>
          <w:bCs/>
          <w:color w:val="000000"/>
          <w:highlight w:val="none"/>
        </w:rPr>
        <w:t xml:space="preserve">七、本次招标联系方式</w:t>
      </w:r>
      <w:bookmarkEnd w:id="27"/>
      <w:r/>
      <w:bookmarkEnd w:id="28"/>
      <w:r/>
      <w:bookmarkEnd w:id="29"/>
      <w:r/>
      <w:bookmarkEnd w:id="30"/>
      <w:r/>
      <w:bookmarkEnd w:id="31"/>
      <w:r>
        <w:rPr>
          <w:rFonts w:ascii="宋体" w:hAnsi="宋体" w:cs="宋体"/>
          <w:b/>
          <w:bCs/>
          <w:color w:val="000000"/>
          <w:highlight w:val="none"/>
        </w:rPr>
      </w:r>
      <w:r/>
    </w:p>
    <w:p>
      <w:pPr>
        <w:pStyle w:val="988"/>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1.采购人信息</w:t>
      </w:r>
      <w:r>
        <w:rPr>
          <w:rFonts w:hint="eastAsia" w:hAnsi="宋体" w:cs="宋体"/>
          <w:color w:val="000000"/>
          <w:szCs w:val="21"/>
          <w:highlight w:val="none"/>
        </w:rPr>
      </w:r>
      <w:r/>
    </w:p>
    <w:p>
      <w:pPr>
        <w:pStyle w:val="973"/>
        <w:ind w:firstLine="420"/>
        <w:jc w:val="left"/>
        <w:spacing w:line="360" w:lineRule="auto"/>
        <w:rPr>
          <w:rFonts w:ascii="宋体" w:hAnsi="宋体"/>
          <w:color w:val="000000"/>
          <w:highlight w:val="none"/>
          <w:lang w:val="en-US"/>
        </w:rPr>
      </w:pPr>
      <w:r>
        <w:rPr>
          <w:rFonts w:hint="eastAsia" w:ascii="宋体" w:hAnsi="宋体"/>
          <w:color w:val="000000"/>
          <w:highlight w:val="none"/>
        </w:rPr>
        <w:t xml:space="preserve">名    称：</w:t>
      </w:r>
      <w:r>
        <w:rPr>
          <w:rFonts w:hint="eastAsia" w:ascii="宋体" w:hAnsi="宋体"/>
          <w:color w:val="000000"/>
          <w:highlight w:val="none"/>
          <w:u w:val="single"/>
          <w:lang w:eastAsia="zh-CN"/>
        </w:rPr>
        <w:t xml:space="preserve">仪征市住房和城乡建设局</w:t>
      </w:r>
      <w:r>
        <w:rPr>
          <w:rFonts w:hint="eastAsia" w:ascii="宋体" w:hAnsi="宋体"/>
          <w:color w:val="000000"/>
          <w:highlight w:val="none"/>
          <w:u w:val="single"/>
          <w:lang w:val="en-US" w:eastAsia="zh-CN"/>
        </w:rPr>
        <w:t xml:space="preserve"> </w:t>
      </w:r>
      <w:r>
        <w:rPr>
          <w:rFonts w:ascii="宋体" w:hAnsi="宋体"/>
          <w:color w:val="000000"/>
          <w:highlight w:val="none"/>
          <w:lang w:val="en-US"/>
        </w:rPr>
      </w:r>
      <w:r/>
    </w:p>
    <w:p>
      <w:pPr>
        <w:pStyle w:val="988"/>
        <w:ind w:firstLine="420"/>
        <w:spacing w:line="360" w:lineRule="auto"/>
        <w:rPr>
          <w:rFonts w:hAnsi="宋体" w:eastAsia="宋体" w:cs="宋体"/>
          <w:bCs/>
          <w:color w:val="000000"/>
          <w:highlight w:val="none"/>
          <w:u w:val="single"/>
          <w:lang w:val="en-US" w:eastAsia="zh-CN"/>
        </w:rPr>
      </w:pPr>
      <w:r>
        <w:rPr>
          <w:rFonts w:hint="eastAsia" w:hAnsi="宋体" w:cs="宋体"/>
          <w:bCs/>
          <w:color w:val="000000"/>
          <w:highlight w:val="none"/>
        </w:rPr>
        <w:t xml:space="preserve">地</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 址：</w:t>
      </w:r>
      <w:r>
        <w:rPr>
          <w:rFonts w:hint="eastAsia" w:hAnsi="宋体" w:cs="宋体"/>
          <w:bCs/>
          <w:color w:val="000000"/>
          <w:highlight w:val="none"/>
          <w:u w:val="single"/>
        </w:rPr>
        <w:t xml:space="preserve">仪征市真州西路39号 </w:t>
      </w:r>
      <w:r>
        <w:rPr>
          <w:rFonts w:hAnsi="宋体" w:eastAsia="宋体" w:cs="宋体"/>
          <w:bCs/>
          <w:color w:val="000000"/>
          <w:highlight w:val="none"/>
          <w:u w:val="single"/>
          <w:lang w:val="en-US" w:eastAsia="zh-CN"/>
        </w:rPr>
      </w:r>
      <w:r/>
    </w:p>
    <w:p>
      <w:pPr>
        <w:pStyle w:val="988"/>
        <w:ind w:firstLine="420"/>
        <w:spacing w:line="360" w:lineRule="auto"/>
        <w:rPr>
          <w:rFonts w:hAnsi="宋体" w:eastAsia="宋体" w:cs="宋体"/>
          <w:bCs/>
          <w:color w:val="000000"/>
          <w:highlight w:val="none"/>
          <w:lang w:val="en-US" w:eastAsia="zh-CN"/>
        </w:rPr>
      </w:pPr>
      <w:r>
        <w:rPr>
          <w:rFonts w:hint="eastAsia" w:hAnsi="宋体" w:cs="宋体"/>
          <w:bCs/>
          <w:color w:val="000000"/>
          <w:highlight w:val="none"/>
        </w:rPr>
        <w:t xml:space="preserve">联</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系</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人：</w:t>
      </w:r>
      <w:r>
        <w:rPr>
          <w:rFonts w:hint="eastAsia" w:hAnsi="宋体" w:cs="宋体"/>
          <w:bCs/>
          <w:color w:val="000000"/>
          <w:highlight w:val="none"/>
          <w:u w:val="single"/>
          <w:lang w:val="en-US" w:eastAsia="zh-CN"/>
        </w:rPr>
        <w:t xml:space="preserve">徐博闻</w:t>
      </w:r>
      <w:r>
        <w:rPr>
          <w:rFonts w:hAnsi="宋体" w:eastAsia="宋体" w:cs="宋体"/>
          <w:bCs/>
          <w:color w:val="000000"/>
          <w:highlight w:val="none"/>
          <w:lang w:val="en-US" w:eastAsia="zh-CN"/>
        </w:rPr>
      </w:r>
      <w:r/>
    </w:p>
    <w:p>
      <w:pPr>
        <w:pStyle w:val="988"/>
        <w:ind w:firstLine="420"/>
        <w:keepLines w:val="0"/>
        <w:keepNext w:val="0"/>
        <w:pageBreakBefore w:val="0"/>
        <w:spacing w:line="360" w:lineRule="auto"/>
        <w:widowControl w:val="off"/>
        <w:rPr>
          <w:rFonts w:hAnsi="宋体" w:cs="宋体"/>
          <w:bCs/>
          <w:color w:val="000000"/>
          <w:highlight w:val="none"/>
          <w:u w:val="single"/>
          <w:lang w:val="en-US" w:eastAsia="zh-CN"/>
        </w:rPr>
      </w:pPr>
      <w:r>
        <w:rPr>
          <w:rFonts w:hint="eastAsia" w:hAnsi="宋体" w:cs="宋体"/>
          <w:bCs/>
          <w:color w:val="000000"/>
          <w:highlight w:val="none"/>
        </w:rPr>
        <w:t xml:space="preserve">联系方式：</w:t>
      </w:r>
      <w:r>
        <w:rPr>
          <w:rFonts w:hint="eastAsia" w:hAnsi="宋体" w:cs="宋体"/>
          <w:bCs/>
          <w:color w:val="000000"/>
          <w:highlight w:val="none"/>
          <w:u w:val="single"/>
          <w:lang w:val="en-US" w:eastAsia="zh-CN"/>
        </w:rPr>
        <w:t xml:space="preserve">18021279674</w:t>
      </w:r>
      <w:r>
        <w:rPr>
          <w:rFonts w:hAnsi="宋体" w:cs="宋体"/>
          <w:bCs/>
          <w:color w:val="000000"/>
          <w:highlight w:val="none"/>
          <w:u w:val="single"/>
          <w:lang w:val="en-US" w:eastAsia="zh-CN"/>
        </w:rPr>
      </w:r>
      <w:r/>
    </w:p>
    <w:p>
      <w:pPr>
        <w:pStyle w:val="988"/>
        <w:ind w:firstLine="420"/>
        <w:keepLines w:val="0"/>
        <w:keepNext w:val="0"/>
        <w:pageBreakBefore w:val="0"/>
        <w:spacing w:line="360" w:lineRule="auto"/>
        <w:widowControl w:val="off"/>
        <w:rPr>
          <w:rFonts w:hint="eastAsia" w:hAnsi="宋体" w:cs="宋体"/>
          <w:color w:val="000000"/>
          <w:szCs w:val="21"/>
          <w:highlight w:val="none"/>
        </w:rPr>
      </w:pPr>
      <w:r>
        <w:rPr>
          <w:rFonts w:hint="eastAsia" w:hAnsi="宋体" w:cs="宋体"/>
          <w:bCs/>
          <w:color w:val="000000"/>
          <w:highlight w:val="none"/>
        </w:rPr>
        <w:t xml:space="preserve">2.代理机构信息</w:t>
      </w:r>
      <w:r>
        <w:rPr>
          <w:rFonts w:hint="eastAsia" w:hAnsi="宋体" w:cs="宋体"/>
          <w:color w:val="000000"/>
          <w:szCs w:val="21"/>
          <w:highlight w:val="none"/>
        </w:rPr>
      </w:r>
      <w:r/>
    </w:p>
    <w:p>
      <w:pPr>
        <w:pStyle w:val="988"/>
        <w:ind w:firstLine="420"/>
        <w:keepLines w:val="0"/>
        <w:keepNext w:val="0"/>
        <w:pageBreakBefore w:val="0"/>
        <w:spacing w:line="360" w:lineRule="auto"/>
        <w:widowControl w:val="off"/>
        <w:rPr>
          <w:rFonts w:hint="eastAsia" w:hAnsi="宋体" w:eastAsia="宋体" w:cs="宋体"/>
          <w:color w:val="000000"/>
          <w:szCs w:val="21"/>
          <w:highlight w:val="none"/>
          <w:u w:val="single"/>
          <w:lang w:eastAsia="zh-CN"/>
        </w:rPr>
      </w:pPr>
      <w:r>
        <w:rPr>
          <w:rFonts w:hint="eastAsia" w:hAnsi="宋体" w:cs="宋体"/>
          <w:color w:val="000000"/>
          <w:szCs w:val="21"/>
          <w:highlight w:val="none"/>
        </w:rPr>
        <w:t xml:space="preserve">名  </w:t>
      </w:r>
      <w:r>
        <w:rPr>
          <w:rFonts w:hint="eastAsia" w:hAnsi="宋体" w:cs="宋体"/>
          <w:color w:val="000000"/>
          <w:szCs w:val="21"/>
          <w:highlight w:val="none"/>
          <w:lang w:val="en-US" w:eastAsia="zh-CN"/>
        </w:rPr>
        <w:t xml:space="preserve">  </w:t>
      </w:r>
      <w:r>
        <w:rPr>
          <w:rFonts w:hint="eastAsia" w:hAnsi="宋体" w:cs="宋体"/>
          <w:color w:val="000000"/>
          <w:szCs w:val="21"/>
          <w:highlight w:val="none"/>
        </w:rPr>
        <w:t xml:space="preserve">称：</w:t>
      </w:r>
      <w:r>
        <w:rPr>
          <w:rFonts w:hint="eastAsia" w:hAnsi="宋体" w:cs="宋体"/>
          <w:color w:val="000000"/>
          <w:szCs w:val="21"/>
          <w:highlight w:val="none"/>
          <w:u w:val="single"/>
          <w:lang w:eastAsia="zh-CN"/>
        </w:rPr>
        <w:t xml:space="preserve">扬州博远工程咨询有限公司</w:t>
      </w:r>
      <w:r>
        <w:rPr>
          <w:rFonts w:hint="eastAsia" w:hAnsi="宋体" w:eastAsia="宋体" w:cs="宋体"/>
          <w:color w:val="000000"/>
          <w:szCs w:val="21"/>
          <w:highlight w:val="none"/>
          <w:u w:val="single"/>
          <w:lang w:eastAsia="zh-CN"/>
        </w:rPr>
      </w:r>
      <w:r/>
    </w:p>
    <w:p>
      <w:pPr>
        <w:pStyle w:val="973"/>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bookmarkStart w:id="32" w:name="_Toc28359010"/>
      <w:r/>
      <w:bookmarkStart w:id="33" w:name="_Toc28359087"/>
      <w:r>
        <w:rPr>
          <w:rFonts w:hint="eastAsia" w:ascii="宋体" w:hAnsi="宋体" w:eastAsia="宋体" w:cs="宋体"/>
          <w:color w:val="000000"/>
          <w:sz w:val="21"/>
          <w:szCs w:val="21"/>
          <w:highlight w:val="none"/>
        </w:rPr>
        <w:t xml:space="preserve">联</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lang w:val="en-US" w:eastAsia="zh-CN"/>
        </w:rPr>
        <w:t xml:space="preserve">赵文静</w:t>
      </w:r>
      <w:r>
        <w:rPr>
          <w:rFonts w:hint="eastAsia" w:ascii="宋体" w:hAnsi="宋体" w:eastAsia="宋体" w:cs="宋体"/>
          <w:color w:val="000000"/>
          <w:sz w:val="21"/>
          <w:szCs w:val="21"/>
          <w:highlight w:val="none"/>
          <w:u w:val="single"/>
        </w:rPr>
      </w:r>
      <w:r/>
    </w:p>
    <w:p>
      <w:pPr>
        <w:pStyle w:val="97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lang w:eastAsia="zh-CN"/>
        </w:rPr>
        <w:t xml:space="preserve">仪征市万年北路163号（万年商城内东南角二楼）</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73"/>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lang w:val="en-US" w:eastAsia="zh-CN"/>
        </w:rPr>
        <w:t xml:space="preserve">18936260560</w:t>
      </w:r>
      <w:bookmarkStart w:id="34" w:name="_Toc35393639"/>
      <w:r/>
      <w:bookmarkStart w:id="35" w:name="_Toc28359021"/>
      <w:r/>
      <w:bookmarkStart w:id="36" w:name="_Toc35393808"/>
      <w:r/>
      <w:bookmarkStart w:id="37" w:name="_Toc28359098"/>
      <w:r>
        <w:rPr>
          <w:rFonts w:hint="eastAsia" w:ascii="宋体" w:hAnsi="宋体" w:eastAsia="宋体" w:cs="宋体"/>
          <w:color w:val="000000"/>
          <w:sz w:val="21"/>
          <w:szCs w:val="21"/>
          <w:highlight w:val="none"/>
          <w:u w:val="single"/>
        </w:rPr>
      </w:r>
      <w:r/>
    </w:p>
    <w:p>
      <w:pPr>
        <w:pStyle w:val="984"/>
        <w:ind w:left="0" w:firstLine="420"/>
        <w:keepLines w:val="0"/>
        <w:keepNext w:val="0"/>
        <w:pageBreakBefore w:val="0"/>
        <w:spacing w:line="360" w:lineRule="auto"/>
        <w:widowControl w:val="off"/>
        <w:rPr>
          <w:rFonts w:ascii="宋体" w:hAnsi="宋体" w:eastAsia="宋体" w:cs="宋体"/>
          <w:bCs/>
          <w:color w:val="000000"/>
          <w:sz w:val="21"/>
          <w:szCs w:val="22"/>
          <w:highlight w:val="none"/>
          <w:lang w:val="en-US" w:eastAsia="zh-CN" w:bidi="ar-SA"/>
        </w:rPr>
      </w:pPr>
      <w:r/>
      <w:bookmarkEnd w:id="32"/>
      <w:r/>
      <w:bookmarkEnd w:id="33"/>
      <w:r/>
      <w:bookmarkEnd w:id="34"/>
      <w:r/>
      <w:bookmarkEnd w:id="35"/>
      <w:r/>
      <w:bookmarkEnd w:id="36"/>
      <w:r/>
      <w:bookmarkEnd w:id="37"/>
      <w:r>
        <w:rPr>
          <w:rFonts w:ascii="宋体" w:hAnsi="宋体" w:eastAsia="宋体" w:cs="宋体"/>
          <w:bCs/>
          <w:color w:val="000000"/>
          <w:sz w:val="21"/>
          <w:szCs w:val="22"/>
          <w:highlight w:val="none"/>
          <w:lang w:val="en-US" w:eastAsia="zh-CN" w:bidi="ar-SA"/>
        </w:rPr>
      </w:r>
      <w:r/>
    </w:p>
    <w:p>
      <w:pPr>
        <w:pStyle w:val="973"/>
        <w:jc w:val="center"/>
        <w:rPr>
          <w:rFonts w:hint="eastAsia" w:ascii="宋体" w:hAnsi="宋体"/>
          <w:b/>
          <w:bCs/>
          <w:color w:val="000000"/>
          <w:sz w:val="36"/>
          <w:highlight w:val="none"/>
        </w:rPr>
      </w:pPr>
      <w:r>
        <w:rPr>
          <w:color w:val="000000"/>
          <w:highlight w:val="none"/>
        </w:rPr>
        <w:br w:type="page" w:clear="all"/>
      </w:r>
      <w:bookmarkStart w:id="38" w:name="_Toc13616"/>
      <w:r>
        <w:rPr>
          <w:rStyle w:val="980"/>
          <w:rFonts w:hint="eastAsia"/>
          <w:color w:val="000000"/>
          <w:sz w:val="36"/>
          <w:szCs w:val="36"/>
          <w:highlight w:val="none"/>
          <w:lang w:val="en-US" w:eastAsia="zh-CN"/>
        </w:rPr>
        <w:t xml:space="preserve">第二章 投标</w:t>
      </w:r>
      <w:r>
        <w:rPr>
          <w:rStyle w:val="980"/>
          <w:rFonts w:hint="eastAsia"/>
          <w:color w:val="000000"/>
          <w:sz w:val="36"/>
          <w:szCs w:val="36"/>
          <w:highlight w:val="none"/>
          <w:lang w:val="en-US" w:eastAsia="zh-CN"/>
        </w:rPr>
        <w:t xml:space="preserve">人</w:t>
      </w:r>
      <w:r>
        <w:rPr>
          <w:rStyle w:val="980"/>
          <w:rFonts w:hint="eastAsia"/>
          <w:color w:val="000000"/>
          <w:sz w:val="36"/>
          <w:szCs w:val="36"/>
          <w:highlight w:val="none"/>
          <w:lang w:val="en-US" w:eastAsia="zh-CN"/>
        </w:rPr>
        <w:t xml:space="preserve">须知</w:t>
      </w:r>
      <w:bookmarkEnd w:id="38"/>
      <w:r>
        <w:rPr>
          <w:rFonts w:hint="eastAsia" w:ascii="宋体" w:hAnsi="宋体"/>
          <w:b/>
          <w:bCs/>
          <w:color w:val="000000"/>
          <w:sz w:val="36"/>
          <w:highlight w:val="none"/>
        </w:rPr>
      </w:r>
      <w:r/>
    </w:p>
    <w:p>
      <w:pPr>
        <w:pStyle w:val="977"/>
        <w:ind w:firstLine="422"/>
        <w:spacing w:before="0" w:after="0" w:line="360" w:lineRule="auto"/>
        <w:rPr>
          <w:rFonts w:ascii="宋体" w:hAnsi="宋体" w:eastAsia="宋体"/>
          <w:color w:val="000000"/>
          <w:sz w:val="21"/>
          <w:szCs w:val="21"/>
          <w:highlight w:val="none"/>
        </w:rPr>
      </w:pPr>
      <w:r/>
      <w:bookmarkStart w:id="39" w:name="_Toc20823276"/>
      <w:r/>
      <w:bookmarkStart w:id="40" w:name="_Toc16938520"/>
      <w:r/>
      <w:bookmarkStart w:id="41" w:name="_Toc513029204"/>
      <w:r/>
      <w:bookmarkStart w:id="42" w:name="_Toc458694821"/>
      <w:r>
        <w:rPr>
          <w:rFonts w:hint="eastAsia" w:ascii="宋体" w:hAnsi="宋体" w:eastAsia="宋体"/>
          <w:color w:val="000000"/>
          <w:sz w:val="21"/>
          <w:szCs w:val="21"/>
          <w:highlight w:val="none"/>
        </w:rPr>
        <w:t xml:space="preserve">1、招标方式</w:t>
      </w:r>
      <w:r>
        <w:rPr>
          <w:rFonts w:ascii="宋体" w:hAnsi="宋体" w:eastAsia="宋体"/>
          <w:color w:val="000000"/>
          <w:sz w:val="21"/>
          <w:szCs w:val="21"/>
          <w:highlight w:val="none"/>
        </w:rPr>
      </w:r>
      <w:r/>
    </w:p>
    <w:p>
      <w:pPr>
        <w:pStyle w:val="973"/>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 本次招标采取公开招标方式，本招标文件仅适用于</w:t>
      </w:r>
      <w:r>
        <w:rPr>
          <w:rFonts w:hint="eastAsia" w:ascii="宋体" w:hAnsi="宋体"/>
          <w:color w:val="000000"/>
          <w:highlight w:val="none"/>
          <w:lang w:val="en-US" w:eastAsia="zh-CN"/>
        </w:rPr>
        <w:t xml:space="preserve">招标公告中所述</w:t>
      </w:r>
      <w:r>
        <w:rPr>
          <w:rFonts w:hint="eastAsia" w:ascii="宋体" w:hAnsi="宋体"/>
          <w:color w:val="000000"/>
          <w:highlight w:val="none"/>
        </w:rPr>
        <w:t xml:space="preserve">项目。</w:t>
      </w:r>
      <w:r>
        <w:rPr>
          <w:rFonts w:hint="eastAsia" w:ascii="宋体" w:hAnsi="宋体"/>
          <w:color w:val="000000"/>
          <w:szCs w:val="21"/>
          <w:highlight w:val="none"/>
        </w:rPr>
      </w:r>
      <w:r/>
    </w:p>
    <w:p>
      <w:pPr>
        <w:pStyle w:val="977"/>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2、投标人</w:t>
      </w:r>
      <w:r>
        <w:rPr>
          <w:rFonts w:hint="eastAsia" w:ascii="宋体" w:hAnsi="宋体" w:eastAsia="宋体"/>
          <w:color w:val="000000"/>
          <w:sz w:val="21"/>
          <w:szCs w:val="21"/>
          <w:highlight w:val="none"/>
        </w:rPr>
      </w:r>
      <w:r/>
    </w:p>
    <w:p>
      <w:pPr>
        <w:pStyle w:val="97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 本招标文件中“供应商”，即“投标人”，是指参加投标竞争，并符合招标文件规定资格条件的法人、其他组织或者自然人。</w:t>
      </w:r>
      <w:r>
        <w:rPr>
          <w:rFonts w:hint="eastAsia" w:ascii="宋体" w:hAnsi="宋体" w:eastAsia="宋体"/>
          <w:b w:val="0"/>
          <w:bCs w:val="0"/>
          <w:color w:val="000000"/>
          <w:sz w:val="21"/>
          <w:szCs w:val="21"/>
          <w:highlight w:val="none"/>
        </w:rPr>
      </w:r>
      <w:r/>
    </w:p>
    <w:p>
      <w:pPr>
        <w:pStyle w:val="977"/>
        <w:ind w:firstLine="420"/>
        <w:spacing w:before="0" w:after="0" w:line="360" w:lineRule="auto"/>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2.2合格的投标人</w:t>
      </w:r>
      <w:r>
        <w:rPr>
          <w:rFonts w:ascii="宋体" w:hAnsi="宋体" w:eastAsia="宋体"/>
          <w:b w:val="0"/>
          <w:bCs w:val="0"/>
          <w:color w:val="000000"/>
          <w:sz w:val="21"/>
          <w:szCs w:val="21"/>
          <w:highlight w:val="none"/>
        </w:rPr>
      </w:r>
      <w:r/>
    </w:p>
    <w:p>
      <w:pPr>
        <w:pStyle w:val="973"/>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2.2.1 </w:t>
      </w:r>
      <w:r>
        <w:rPr>
          <w:rFonts w:hint="eastAsia" w:ascii="宋体" w:hAnsi="宋体"/>
          <w:bCs/>
          <w:color w:val="000000"/>
          <w:szCs w:val="21"/>
          <w:highlight w:val="none"/>
        </w:rPr>
        <w:t xml:space="preserve">满足招标公告中供应商的资格条件要求的规定</w:t>
      </w:r>
      <w:r>
        <w:rPr>
          <w:rFonts w:hint="eastAsia" w:ascii="宋体" w:hAnsi="宋体"/>
          <w:color w:val="000000"/>
          <w:highlight w:val="none"/>
        </w:rPr>
        <w:t xml:space="preserve">。</w:t>
      </w:r>
      <w:r>
        <w:rPr>
          <w:rFonts w:hint="eastAsia" w:ascii="宋体" w:hAnsi="宋体"/>
          <w:color w:val="000000"/>
          <w:szCs w:val="21"/>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2.2.2 满足本文件实质性条款的规定。</w:t>
      </w:r>
      <w:r>
        <w:rPr>
          <w:rFonts w:hint="eastAsia" w:ascii="宋体" w:hAnsi="宋体"/>
          <w:color w:val="000000"/>
          <w:highlight w:val="none"/>
        </w:rPr>
      </w:r>
      <w:r/>
    </w:p>
    <w:p>
      <w:pPr>
        <w:pStyle w:val="977"/>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3、适用法律</w:t>
      </w:r>
      <w:r>
        <w:rPr>
          <w:rFonts w:hint="eastAsia" w:ascii="宋体" w:hAnsi="宋体" w:eastAsia="宋体"/>
          <w:color w:val="000000"/>
          <w:sz w:val="21"/>
          <w:szCs w:val="21"/>
          <w:highlight w:val="none"/>
        </w:rPr>
      </w:r>
      <w:r/>
    </w:p>
    <w:p>
      <w:pPr>
        <w:pStyle w:val="97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3.1 本次招标及由此产生的合同受中华人民共和国有关的法律法规制约和保护。</w:t>
      </w:r>
      <w:r>
        <w:rPr>
          <w:rFonts w:hint="eastAsia" w:ascii="宋体" w:hAnsi="宋体" w:eastAsia="宋体"/>
          <w:b w:val="0"/>
          <w:bCs w:val="0"/>
          <w:color w:val="000000"/>
          <w:sz w:val="21"/>
          <w:szCs w:val="21"/>
          <w:highlight w:val="none"/>
        </w:rPr>
      </w:r>
      <w:r/>
    </w:p>
    <w:p>
      <w:pPr>
        <w:pStyle w:val="973"/>
        <w:ind w:firstLine="422"/>
        <w:spacing w:line="360" w:lineRule="auto"/>
        <w:rPr>
          <w:rFonts w:hint="eastAsia" w:ascii="宋体" w:hAnsi="宋体"/>
          <w:b/>
          <w:bCs/>
          <w:color w:val="000000"/>
          <w:szCs w:val="21"/>
          <w:highlight w:val="none"/>
        </w:rPr>
      </w:pPr>
      <w:r>
        <w:rPr>
          <w:rFonts w:hint="eastAsia" w:ascii="宋体" w:hAnsi="宋体"/>
          <w:b/>
          <w:bCs/>
          <w:color w:val="000000"/>
          <w:highlight w:val="none"/>
        </w:rPr>
        <w:t xml:space="preserve">4、投标费用</w:t>
      </w:r>
      <w:r>
        <w:rPr>
          <w:rFonts w:hint="eastAsia" w:ascii="宋体" w:hAnsi="宋体"/>
          <w:b/>
          <w:bCs/>
          <w:color w:val="000000"/>
          <w:szCs w:val="21"/>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4.1 投标人应自行承担所有与参加投标有关的费用，无论投标过程中的做法和结果如何，</w:t>
      </w:r>
      <w:r>
        <w:rPr>
          <w:rFonts w:hint="eastAsia" w:ascii="宋体" w:hAnsi="宋体"/>
          <w:color w:val="000000"/>
          <w:highlight w:val="none"/>
          <w:lang w:eastAsia="zh-CN"/>
        </w:rPr>
        <w:t xml:space="preserve">扬州博远工程咨询有限公司</w:t>
      </w:r>
      <w:r>
        <w:rPr>
          <w:rFonts w:hint="eastAsia" w:ascii="宋体" w:hAnsi="宋体"/>
          <w:color w:val="000000"/>
          <w:highlight w:val="none"/>
        </w:rPr>
        <w:t xml:space="preserve">(以下简称代理机构)在任何情况下均无义务和责任承担这些费用。</w:t>
      </w:r>
      <w:r>
        <w:rPr>
          <w:rFonts w:hint="eastAsia" w:ascii="宋体" w:hAnsi="宋体"/>
          <w:color w:val="000000"/>
          <w:highlight w:val="none"/>
        </w:rPr>
      </w:r>
      <w:r/>
    </w:p>
    <w:p>
      <w:pPr>
        <w:pStyle w:val="973"/>
        <w:ind w:firstLine="420"/>
        <w:spacing w:after="156" w:line="500" w:lineRule="exact"/>
        <w:tabs>
          <w:tab w:val="left" w:pos="900" w:leader="none"/>
        </w:tabs>
        <w:rPr>
          <w:rFonts w:hint="eastAsia"/>
          <w:color w:val="000000"/>
          <w:highlight w:val="none"/>
        </w:rPr>
      </w:pPr>
      <w:r>
        <w:rPr>
          <w:rFonts w:hint="eastAsia" w:ascii="宋体" w:hAnsi="宋体"/>
          <w:color w:val="000000"/>
          <w:highlight w:val="none"/>
        </w:rPr>
        <w:t xml:space="preserve">4.2</w:t>
      </w:r>
      <w:r>
        <w:rPr>
          <w:highlight w:val="none"/>
        </w:rPr>
        <w:t xml:space="preserve">本次采购由中标人在领取中标通知书前按照国家计委印发的</w:t>
      </w:r>
      <w:r>
        <w:rPr>
          <w:color w:val="000000"/>
          <w:highlight w:val="none"/>
        </w:rPr>
        <w:t xml:space="preserve">《招标代理服务收费管理暂行办法》</w:t>
      </w:r>
      <w:r>
        <w:rPr>
          <w:rFonts w:hint="eastAsia"/>
          <w:color w:val="000000"/>
          <w:highlight w:val="none"/>
          <w:lang w:eastAsia="zh-CN"/>
        </w:rPr>
        <w:t xml:space="preserve">（</w:t>
      </w:r>
      <w:r>
        <w:rPr>
          <w:color w:val="000000"/>
          <w:highlight w:val="none"/>
        </w:rPr>
        <w:t xml:space="preserve">计价格【2002】1980 号文</w:t>
      </w:r>
      <w:r>
        <w:rPr>
          <w:rFonts w:hint="eastAsia"/>
          <w:color w:val="000000"/>
          <w:highlight w:val="none"/>
          <w:lang w:eastAsia="zh-CN"/>
        </w:rPr>
        <w:t xml:space="preserve">）</w:t>
      </w:r>
      <w:r>
        <w:rPr>
          <w:color w:val="000000"/>
          <w:highlight w:val="none"/>
        </w:rPr>
        <w:t xml:space="preserve">货物类（服务类）的标准一次性支付给招标代理机构代理服务费</w:t>
      </w:r>
      <w:r>
        <w:rPr>
          <w:rFonts w:hint="eastAsia"/>
          <w:color w:val="000000"/>
          <w:highlight w:val="none"/>
          <w:lang w:eastAsia="zh-CN"/>
        </w:rPr>
        <w:t xml:space="preserve">（</w:t>
      </w:r>
      <w:r>
        <w:rPr>
          <w:color w:val="000000"/>
          <w:highlight w:val="none"/>
        </w:rPr>
        <w:t xml:space="preserve">不满叁仟元按叁仟元计取）</w:t>
      </w:r>
      <w:r>
        <w:rPr>
          <w:rFonts w:hint="eastAsia"/>
          <w:color w:val="000000"/>
          <w:highlight w:val="none"/>
        </w:rPr>
        <w:t xml:space="preserve">。</w:t>
      </w:r>
      <w:r>
        <w:rPr>
          <w:rFonts w:hint="eastAsia"/>
          <w:color w:val="000000"/>
          <w:highlight w:val="none"/>
        </w:rPr>
      </w:r>
      <w:r/>
    </w:p>
    <w:p>
      <w:pPr>
        <w:pStyle w:val="973"/>
        <w:ind w:firstLine="420"/>
        <w:spacing w:line="360" w:lineRule="auto"/>
        <w:rPr>
          <w:color w:val="000000"/>
          <w:highlight w:val="none"/>
        </w:rPr>
      </w:pPr>
      <w:r>
        <w:rPr>
          <w:color w:val="000000"/>
          <w:highlight w:val="none"/>
        </w:rPr>
        <w:t xml:space="preserve">（1）代理服务费以人民币支付； </w:t>
      </w:r>
      <w:r>
        <w:rPr>
          <w:color w:val="000000"/>
          <w:highlight w:val="none"/>
        </w:rPr>
      </w:r>
      <w:r/>
    </w:p>
    <w:p>
      <w:pPr>
        <w:pStyle w:val="973"/>
        <w:ind w:firstLine="420"/>
        <w:spacing w:line="360" w:lineRule="auto"/>
        <w:rPr>
          <w:color w:val="000000"/>
          <w:highlight w:val="none"/>
        </w:rPr>
      </w:pPr>
      <w:r>
        <w:rPr>
          <w:color w:val="000000"/>
          <w:highlight w:val="none"/>
        </w:rPr>
        <w:t xml:space="preserve">（2）代理服务费一次性以电汇、转账等非现金形式支付； </w:t>
      </w:r>
      <w:r>
        <w:rPr>
          <w:color w:val="000000"/>
          <w:highlight w:val="none"/>
        </w:rPr>
      </w:r>
      <w:r/>
    </w:p>
    <w:p>
      <w:pPr>
        <w:pStyle w:val="973"/>
        <w:ind w:firstLine="420"/>
        <w:spacing w:line="360" w:lineRule="auto"/>
        <w:rPr>
          <w:color w:val="000000"/>
          <w:highlight w:val="none"/>
        </w:rPr>
      </w:pPr>
      <w:r>
        <w:rPr>
          <w:color w:val="000000"/>
          <w:highlight w:val="none"/>
        </w:rPr>
        <w:t xml:space="preserve">（3）招标代理服务费不在</w:t>
      </w:r>
      <w:r>
        <w:rPr>
          <w:rFonts w:hint="eastAsia"/>
          <w:color w:val="000000"/>
          <w:highlight w:val="none"/>
        </w:rPr>
        <w:t xml:space="preserve">投标</w:t>
      </w:r>
      <w:r>
        <w:rPr>
          <w:color w:val="000000"/>
          <w:highlight w:val="none"/>
        </w:rPr>
        <w:t xml:space="preserve">报价中单列，包含在</w:t>
      </w:r>
      <w:r>
        <w:rPr>
          <w:rFonts w:hint="eastAsia"/>
          <w:color w:val="000000"/>
          <w:highlight w:val="none"/>
        </w:rPr>
        <w:t xml:space="preserve">投标</w:t>
      </w:r>
      <w:r>
        <w:rPr>
          <w:color w:val="000000"/>
          <w:highlight w:val="none"/>
        </w:rPr>
        <w:t xml:space="preserve">总价中，</w:t>
      </w:r>
      <w:r>
        <w:rPr>
          <w:highlight w:val="none"/>
        </w:rPr>
        <w:t xml:space="preserve">由中标单位支付给代理机构。</w:t>
      </w:r>
      <w:r>
        <w:rPr>
          <w:color w:val="000000"/>
          <w:highlight w:val="none"/>
        </w:rPr>
        <w:t xml:space="preserve"> </w:t>
      </w:r>
      <w:r>
        <w:rPr>
          <w:color w:val="000000"/>
          <w:highlight w:val="none"/>
        </w:rPr>
        <w:t xml:space="preserve"> </w:t>
      </w:r>
      <w:r>
        <w:rPr>
          <w:color w:val="000000"/>
          <w:highlight w:val="none"/>
        </w:rPr>
      </w:r>
      <w:r/>
    </w:p>
    <w:p>
      <w:pPr>
        <w:pStyle w:val="973"/>
        <w:ind w:firstLine="420"/>
        <w:spacing w:line="360" w:lineRule="auto"/>
        <w:rPr>
          <w:rFonts w:hint="eastAsia"/>
          <w:color w:val="000000"/>
          <w:highlight w:val="none"/>
        </w:rPr>
      </w:pPr>
      <w:r>
        <w:rPr>
          <w:rFonts w:hint="eastAsia" w:ascii="宋体" w:hAnsi="宋体" w:eastAsia="宋体" w:cs="Times New Roman"/>
          <w:color w:val="000000"/>
          <w:highlight w:val="none"/>
        </w:rPr>
        <w:t xml:space="preserve">4.</w:t>
      </w:r>
      <w:r>
        <w:rPr>
          <w:rFonts w:hint="eastAsia" w:ascii="宋体" w:hAnsi="宋体" w:eastAsia="宋体" w:cs="Times New Roman"/>
          <w:color w:val="000000"/>
          <w:highlight w:val="none"/>
          <w:lang w:val="en-US" w:eastAsia="zh-CN"/>
        </w:rPr>
        <w:t xml:space="preserve">3</w:t>
      </w:r>
      <w:r>
        <w:rPr>
          <w:color w:val="000000"/>
          <w:highlight w:val="none"/>
        </w:rPr>
        <w:t xml:space="preserve">专家评审费按扬财购【2020】40 号文《关于</w:t>
      </w:r>
      <w:r>
        <w:rPr>
          <w:rFonts w:hint="eastAsia"/>
          <w:color w:val="000000"/>
          <w:highlight w:val="none"/>
        </w:rPr>
        <w:t xml:space="preserve">进一步</w:t>
      </w:r>
      <w:r>
        <w:rPr>
          <w:color w:val="000000"/>
          <w:highlight w:val="none"/>
        </w:rPr>
        <w:t xml:space="preserve">规范扬州市政府采购专家评审费标准的通知》执行。</w:t>
      </w:r>
      <w:r>
        <w:rPr>
          <w:rFonts w:hint="eastAsia"/>
          <w:color w:val="000000"/>
          <w:highlight w:val="none"/>
        </w:rPr>
      </w:r>
      <w:r/>
    </w:p>
    <w:p>
      <w:pPr>
        <w:pStyle w:val="977"/>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5、招标文件的约束力</w:t>
      </w:r>
      <w:r>
        <w:rPr>
          <w:rFonts w:hint="eastAsia" w:ascii="宋体" w:hAnsi="宋体" w:eastAsia="宋体"/>
          <w:color w:val="000000"/>
          <w:sz w:val="21"/>
          <w:szCs w:val="21"/>
          <w:highlight w:val="none"/>
        </w:rPr>
      </w:r>
      <w:r/>
    </w:p>
    <w:p>
      <w:pPr>
        <w:pStyle w:val="973"/>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5.1 投标人一旦参加本项目采购活动，即被认为接受了本招标文件的规定和约束。</w:t>
      </w:r>
      <w:r>
        <w:rPr>
          <w:rFonts w:hint="eastAsia" w:ascii="宋体" w:hAnsi="宋体"/>
          <w:color w:val="000000"/>
          <w:szCs w:val="21"/>
          <w:highlight w:val="none"/>
        </w:rPr>
      </w:r>
      <w:r/>
    </w:p>
    <w:p>
      <w:pPr>
        <w:pStyle w:val="977"/>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6、招标文件构成</w:t>
      </w:r>
      <w:r>
        <w:rPr>
          <w:rFonts w:hint="eastAsia" w:ascii="宋体" w:hAnsi="宋体" w:eastAsia="宋体"/>
          <w:color w:val="000000"/>
          <w:sz w:val="21"/>
          <w:szCs w:val="21"/>
          <w:highlight w:val="none"/>
        </w:rPr>
      </w:r>
      <w:r/>
    </w:p>
    <w:p>
      <w:pPr>
        <w:pStyle w:val="973"/>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6.1 招标文件有以下部分组成：</w:t>
      </w:r>
      <w:r>
        <w:rPr>
          <w:rFonts w:hint="eastAsia" w:ascii="宋体" w:hAnsi="宋体"/>
          <w:color w:val="000000"/>
          <w:szCs w:val="21"/>
          <w:highlight w:val="none"/>
        </w:rPr>
      </w:r>
      <w:r/>
    </w:p>
    <w:p>
      <w:pPr>
        <w:pStyle w:val="973"/>
        <w:ind w:firstLine="315"/>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招标公告</w:t>
      </w:r>
      <w:r>
        <w:rPr>
          <w:rFonts w:hint="eastAsia" w:ascii="宋体" w:hAnsi="宋体" w:eastAsia="宋体"/>
          <w:color w:val="000000"/>
          <w:highlight w:val="none"/>
          <w:lang w:eastAsia="zh-CN"/>
        </w:rPr>
      </w:r>
      <w:r/>
    </w:p>
    <w:p>
      <w:pPr>
        <w:pStyle w:val="973"/>
        <w:ind w:firstLine="315"/>
        <w:spacing w:line="360" w:lineRule="auto"/>
        <w:rPr>
          <w:rFonts w:ascii="宋体" w:hAnsi="宋体"/>
          <w:color w:val="000000"/>
          <w:highlight w:val="none"/>
        </w:rPr>
      </w:pPr>
      <w:r>
        <w:rPr>
          <w:rFonts w:hint="eastAsia" w:ascii="宋体" w:hAnsi="宋体"/>
          <w:color w:val="000000"/>
          <w:highlight w:val="none"/>
        </w:rPr>
        <w:t xml:space="preserve">（2）投标人须知</w:t>
      </w:r>
      <w:r>
        <w:rPr>
          <w:rFonts w:ascii="宋体" w:hAnsi="宋体"/>
          <w:color w:val="000000"/>
          <w:highlight w:val="none"/>
        </w:rPr>
      </w:r>
      <w:r/>
    </w:p>
    <w:p>
      <w:pPr>
        <w:pStyle w:val="973"/>
        <w:ind w:firstLine="315"/>
        <w:spacing w:line="360" w:lineRule="auto"/>
        <w:rPr>
          <w:rFonts w:ascii="宋体" w:hAnsi="宋体"/>
          <w:color w:val="000000"/>
          <w:highlight w:val="none"/>
        </w:rPr>
      </w:pPr>
      <w:r>
        <w:rPr>
          <w:rFonts w:hint="eastAsia" w:ascii="宋体" w:hAnsi="宋体"/>
          <w:color w:val="000000"/>
          <w:highlight w:val="none"/>
        </w:rPr>
        <w:t xml:space="preserve">（3）合同文本</w:t>
      </w:r>
      <w:r>
        <w:rPr>
          <w:rFonts w:ascii="宋体" w:hAnsi="宋体"/>
          <w:color w:val="000000"/>
          <w:highlight w:val="none"/>
        </w:rPr>
      </w:r>
      <w:r/>
    </w:p>
    <w:p>
      <w:pPr>
        <w:pStyle w:val="973"/>
        <w:ind w:firstLine="315"/>
        <w:spacing w:line="360" w:lineRule="auto"/>
        <w:rPr>
          <w:rFonts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lang w:val="en-US" w:eastAsia="zh-CN"/>
        </w:rPr>
        <w:t xml:space="preserve">采购</w:t>
      </w:r>
      <w:r>
        <w:rPr>
          <w:rFonts w:hint="eastAsia" w:ascii="宋体" w:hAnsi="宋体"/>
          <w:color w:val="000000"/>
          <w:highlight w:val="none"/>
        </w:rPr>
        <w:t xml:space="preserve">需求</w:t>
      </w:r>
      <w:r>
        <w:rPr>
          <w:rFonts w:ascii="宋体" w:hAnsi="宋体"/>
          <w:color w:val="000000"/>
          <w:highlight w:val="none"/>
        </w:rPr>
      </w:r>
      <w:r/>
    </w:p>
    <w:p>
      <w:pPr>
        <w:pStyle w:val="973"/>
        <w:ind w:firstLine="315"/>
        <w:spacing w:line="360" w:lineRule="auto"/>
        <w:rPr>
          <w:rFonts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lang w:val="en-US" w:eastAsia="zh-CN"/>
        </w:rPr>
        <w:t xml:space="preserve">评审方法与评标标准</w:t>
      </w:r>
      <w:r>
        <w:rPr>
          <w:rFonts w:ascii="宋体" w:hAnsi="宋体"/>
          <w:color w:val="000000"/>
          <w:highlight w:val="none"/>
        </w:rPr>
      </w:r>
      <w:r/>
    </w:p>
    <w:p>
      <w:pPr>
        <w:pStyle w:val="973"/>
        <w:ind w:firstLine="315"/>
        <w:spacing w:line="360" w:lineRule="auto"/>
        <w:rPr>
          <w:rFonts w:ascii="宋体" w:hAnsi="宋体"/>
          <w:color w:val="000000"/>
          <w:highlight w:val="none"/>
        </w:rPr>
      </w:pPr>
      <w:r>
        <w:rPr>
          <w:rFonts w:hint="eastAsia" w:ascii="宋体" w:hAnsi="宋体"/>
          <w:color w:val="000000"/>
          <w:highlight w:val="none"/>
        </w:rPr>
        <w:t xml:space="preserve">（6）投标文件格式</w:t>
      </w:r>
      <w:r>
        <w:rPr>
          <w:rFonts w:ascii="宋体" w:hAnsi="宋体"/>
          <w:color w:val="000000"/>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请仔细检查招标文件是否齐全，如有缺漏请立即与代理机构联系解决。</w:t>
      </w:r>
      <w:r>
        <w:rPr>
          <w:rFonts w:hint="eastAsia" w:ascii="宋体" w:hAnsi="宋体"/>
          <w:color w:val="000000"/>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6.2 招标的最小单位是包。</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服务数量及技术要求中未分包的，</w:t>
      </w:r>
      <w:r>
        <w:rPr>
          <w:rFonts w:hint="eastAsia" w:ascii="宋体" w:hAnsi="宋体"/>
          <w:bCs/>
          <w:color w:val="000000"/>
          <w:szCs w:val="21"/>
          <w:highlight w:val="none"/>
        </w:rPr>
        <w:t xml:space="preserve">供应商</w:t>
      </w:r>
      <w:r>
        <w:rPr>
          <w:rFonts w:hint="eastAsia" w:ascii="宋体" w:hAnsi="宋体"/>
          <w:color w:val="000000"/>
          <w:highlight w:val="none"/>
        </w:rPr>
        <w:t xml:space="preserve">对要求提供的服务不得部分投标；</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服务数量及技术要求中已经分包的，应当以包为单位投标。</w:t>
      </w:r>
      <w:r>
        <w:rPr>
          <w:rFonts w:hint="eastAsia" w:ascii="宋体" w:hAnsi="宋体"/>
          <w:color w:val="000000"/>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lang w:val="en-US" w:eastAsia="zh-CN"/>
        </w:rPr>
        <w:t xml:space="preserve">3</w:t>
      </w:r>
      <w:r>
        <w:rPr>
          <w:rFonts w:hint="eastAsia" w:ascii="宋体" w:hAnsi="宋体"/>
          <w:color w:val="000000"/>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highlight w:val="none"/>
        </w:rPr>
      </w:r>
      <w:r/>
    </w:p>
    <w:p>
      <w:pPr>
        <w:pStyle w:val="97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招标文件的澄清</w:t>
      </w:r>
      <w:r>
        <w:rPr>
          <w:rFonts w:hint="eastAsia" w:ascii="宋体" w:hAnsi="宋体" w:eastAsia="宋体"/>
          <w:b w:val="0"/>
          <w:bCs w:val="0"/>
          <w:color w:val="000000"/>
          <w:sz w:val="21"/>
          <w:szCs w:val="21"/>
          <w:highlight w:val="none"/>
        </w:rPr>
      </w:r>
      <w:r/>
    </w:p>
    <w:p>
      <w:pPr>
        <w:pStyle w:val="973"/>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7.1 任何要求对招标文件进行澄清的投标人，</w:t>
      </w:r>
      <w:r>
        <w:rPr>
          <w:rFonts w:hint="eastAsia" w:ascii="宋体" w:hAnsi="宋体"/>
          <w:bCs/>
          <w:color w:val="000000"/>
          <w:szCs w:val="21"/>
          <w:highlight w:val="none"/>
        </w:rPr>
        <w:t xml:space="preserve">应在投标截止日期的十日前按招标公告中的通讯地址，以书面形式通知代理机构。</w:t>
      </w:r>
      <w:r>
        <w:rPr>
          <w:rFonts w:hint="eastAsia" w:ascii="宋体" w:hAnsi="宋体"/>
          <w:color w:val="000000"/>
          <w:szCs w:val="21"/>
          <w:highlight w:val="none"/>
        </w:rPr>
      </w:r>
      <w:r/>
    </w:p>
    <w:p>
      <w:pPr>
        <w:pStyle w:val="97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招标文件的修改</w:t>
      </w:r>
      <w:r>
        <w:rPr>
          <w:rFonts w:hint="eastAsia" w:ascii="宋体" w:hAnsi="宋体" w:eastAsia="宋体"/>
          <w:b w:val="0"/>
          <w:bCs w:val="0"/>
          <w:color w:val="000000"/>
          <w:sz w:val="21"/>
          <w:szCs w:val="21"/>
          <w:highlight w:val="none"/>
        </w:rPr>
      </w:r>
      <w:r/>
    </w:p>
    <w:p>
      <w:pPr>
        <w:pStyle w:val="973"/>
        <w:ind w:firstLine="420"/>
        <w:spacing w:line="360" w:lineRule="auto"/>
        <w:rPr>
          <w:rFonts w:hint="eastAsia" w:ascii="宋体" w:hAnsi="宋体"/>
          <w:bCs/>
          <w:color w:val="000000"/>
          <w:szCs w:val="21"/>
          <w:highlight w:val="none"/>
        </w:rPr>
      </w:pPr>
      <w:r>
        <w:rPr>
          <w:rFonts w:hint="eastAsia" w:ascii="宋体" w:hAnsi="宋体"/>
          <w:color w:val="000000"/>
          <w:highlight w:val="none"/>
        </w:rPr>
        <w:t xml:space="preserve">8.1 </w:t>
      </w:r>
      <w:r>
        <w:rPr>
          <w:rFonts w:hint="eastAsia" w:ascii="宋体" w:hAnsi="宋体"/>
          <w:bCs/>
          <w:color w:val="000000"/>
          <w:szCs w:val="21"/>
          <w:highlight w:val="none"/>
        </w:rPr>
        <w:t xml:space="preserve">在投标截止时间前，代理机构可以对招标文件进行修改。</w:t>
      </w:r>
      <w:r>
        <w:rPr>
          <w:rFonts w:hint="eastAsia" w:ascii="宋体" w:hAnsi="宋体"/>
          <w:bCs/>
          <w:color w:val="000000"/>
          <w:szCs w:val="21"/>
          <w:highlight w:val="none"/>
        </w:rPr>
      </w:r>
      <w:r/>
    </w:p>
    <w:p>
      <w:pPr>
        <w:pStyle w:val="973"/>
        <w:ind w:firstLine="420"/>
        <w:spacing w:line="360" w:lineRule="auto"/>
        <w:rPr>
          <w:rFonts w:hint="eastAsia"/>
          <w:color w:val="000000"/>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hint="eastAsia"/>
          <w:color w:val="000000"/>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8.3招标文件的修改将在“仪征市政府采购网”、“扬州市政府采购网”、“</w:t>
      </w:r>
      <w:r>
        <w:rPr>
          <w:rFonts w:hint="eastAsia" w:ascii="宋体" w:hAnsi="宋体"/>
          <w:color w:val="000000"/>
          <w:highlight w:val="none"/>
          <w:lang w:eastAsia="zh-CN"/>
        </w:rPr>
        <w:t xml:space="preserve">江苏政府采购网</w:t>
      </w:r>
      <w:r>
        <w:rPr>
          <w:rFonts w:hint="eastAsia" w:ascii="宋体" w:hAnsi="宋体"/>
          <w:color w:val="000000"/>
          <w:highlight w:val="none"/>
        </w:rPr>
        <w:t xml:space="preserve">”</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中国政府采购网</w:t>
      </w:r>
      <w:r>
        <w:rPr>
          <w:rFonts w:hint="eastAsia" w:ascii="宋体" w:hAnsi="宋体"/>
          <w:color w:val="000000"/>
          <w:highlight w:val="none"/>
          <w:lang w:eastAsia="zh-CN"/>
        </w:rPr>
        <w:t xml:space="preserve">”</w:t>
      </w:r>
      <w:r>
        <w:rPr>
          <w:rFonts w:hint="eastAsia" w:ascii="宋体" w:hAnsi="宋体"/>
          <w:color w:val="000000"/>
          <w:highlight w:val="none"/>
        </w:rPr>
        <w:t xml:space="preserve">公布，补充文件将作为招标文件的组成部分，并对投标人具有约束力。</w:t>
      </w:r>
      <w:r>
        <w:rPr>
          <w:rFonts w:hint="eastAsia" w:ascii="宋体" w:hAnsi="宋体"/>
          <w:color w:val="000000"/>
          <w:highlight w:val="none"/>
        </w:rPr>
      </w:r>
      <w:r/>
    </w:p>
    <w:p>
      <w:pPr>
        <w:pStyle w:val="977"/>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9、投标文件的语言、度量衡单位</w:t>
      </w:r>
      <w:r>
        <w:rPr>
          <w:rFonts w:hint="eastAsia" w:ascii="宋体" w:hAnsi="宋体" w:eastAsia="宋体"/>
          <w:color w:val="000000"/>
          <w:sz w:val="21"/>
          <w:szCs w:val="21"/>
          <w:highlight w:val="none"/>
        </w:rPr>
      </w:r>
      <w:r/>
    </w:p>
    <w:p>
      <w:pPr>
        <w:pStyle w:val="973"/>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9.1投标人提交的投标文件以及投标人与代理机构就有关投标的所有来往通知、函件和文件均应使用简体中文。</w:t>
      </w:r>
      <w:r>
        <w:rPr>
          <w:rFonts w:hint="eastAsia" w:ascii="宋体" w:hAnsi="宋体"/>
          <w:color w:val="000000"/>
          <w:szCs w:val="21"/>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9.2 除技术性能另有规定外，投标文件所使用的度量衡单位，均须采用国家法定计量单位。</w:t>
      </w:r>
      <w:r>
        <w:rPr>
          <w:rFonts w:hint="eastAsia" w:ascii="宋体" w:hAnsi="宋体"/>
          <w:color w:val="000000"/>
          <w:highlight w:val="none"/>
        </w:rPr>
      </w:r>
      <w:r/>
    </w:p>
    <w:p>
      <w:pPr>
        <w:pStyle w:val="977"/>
        <w:numPr>
          <w:ilvl w:val="0"/>
          <w:numId w:val="3"/>
        </w:numPr>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投标文件构成</w:t>
      </w:r>
      <w:r>
        <w:rPr>
          <w:rFonts w:hint="eastAsia" w:ascii="宋体" w:hAnsi="宋体" w:eastAsia="宋体"/>
          <w:color w:val="000000"/>
          <w:sz w:val="21"/>
          <w:szCs w:val="21"/>
          <w:highlight w:val="none"/>
        </w:rPr>
      </w:r>
      <w:r/>
    </w:p>
    <w:p>
      <w:pPr>
        <w:pStyle w:val="97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b w:val="0"/>
          <w:bCs w:val="0"/>
          <w:color w:val="000000"/>
          <w:sz w:val="21"/>
          <w:szCs w:val="21"/>
          <w:highlight w:val="none"/>
        </w:rPr>
      </w:r>
      <w:r/>
    </w:p>
    <w:p>
      <w:pPr>
        <w:pStyle w:val="97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11、证明投标人资格及符合招标文件规定的文件</w:t>
      </w:r>
      <w:r>
        <w:rPr>
          <w:rFonts w:hint="eastAsia" w:ascii="宋体" w:hAnsi="宋体" w:eastAsia="宋体"/>
          <w:b w:val="0"/>
          <w:bCs w:val="0"/>
          <w:color w:val="000000"/>
          <w:sz w:val="21"/>
          <w:szCs w:val="21"/>
          <w:highlight w:val="none"/>
        </w:rPr>
      </w:r>
      <w:r/>
    </w:p>
    <w:p>
      <w:pPr>
        <w:pStyle w:val="973"/>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11.1 投标人应按照法律、法规、规章和规范性文件以及招标文件要求提交证明文件，证明其及投标标的符合招标文件规定。</w:t>
      </w:r>
      <w:r>
        <w:rPr>
          <w:rFonts w:hint="eastAsia" w:ascii="宋体" w:hAnsi="宋体" w:eastAsia="宋体" w:cs="Times New Roman"/>
          <w:color w:val="000000"/>
          <w:highlight w:val="none"/>
        </w:rPr>
      </w:r>
      <w:r/>
    </w:p>
    <w:p>
      <w:pPr>
        <w:pStyle w:val="973"/>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11.2招标文件对证明文件无明确形式要求的，证明文件可以以文字资料、图纸和数据等形式提交。</w:t>
      </w:r>
      <w:r>
        <w:rPr>
          <w:rFonts w:hint="eastAsia" w:ascii="宋体" w:hAnsi="宋体" w:eastAsia="宋体" w:cs="Times New Roman"/>
          <w:color w:val="000000"/>
          <w:highlight w:val="none"/>
        </w:rPr>
      </w:r>
      <w:r/>
    </w:p>
    <w:p>
      <w:pPr>
        <w:pStyle w:val="977"/>
        <w:ind w:firstLine="422"/>
        <w:spacing w:before="0" w:after="0"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12、</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分项报价表</w:t>
      </w:r>
      <w:r>
        <w:rPr>
          <w:rFonts w:ascii="宋体" w:hAnsi="宋体" w:eastAsia="宋体"/>
          <w:color w:val="000000"/>
          <w:sz w:val="21"/>
          <w:szCs w:val="21"/>
          <w:highlight w:val="none"/>
        </w:rPr>
      </w:r>
      <w:r/>
    </w:p>
    <w:p>
      <w:pPr>
        <w:pStyle w:val="973"/>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12.1 投</w:t>
      </w:r>
      <w:bookmarkStart w:id="43" w:name="_Hlt26954840"/>
      <w:r/>
      <w:bookmarkEnd w:id="43"/>
      <w:r>
        <w:rPr>
          <w:rFonts w:hint="eastAsia" w:ascii="宋体" w:hAnsi="宋体" w:eastAsia="宋体" w:cs="Times New Roman"/>
          <w:color w:val="000000"/>
          <w:highlight w:val="none"/>
        </w:rPr>
        <w:t xml:space="preserve">标人应按照招标文件规定格式填报投标分项报价表</w:t>
      </w:r>
      <w:bookmarkStart w:id="44" w:name="_Hlt26670399"/>
      <w:r/>
      <w:bookmarkEnd w:id="44"/>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973"/>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12.2投标货币。投标文件中的单价和总价无特殊规定的采用人民币报价，以元为单位标注。招标文件中另有规定的按规定执行。</w:t>
      </w:r>
      <w:r>
        <w:rPr>
          <w:rFonts w:hint="eastAsia" w:ascii="宋体" w:hAnsi="宋体" w:eastAsia="宋体" w:cs="Times New Roman"/>
          <w:color w:val="000000"/>
          <w:highlight w:val="none"/>
        </w:rPr>
      </w:r>
      <w:r/>
    </w:p>
    <w:p>
      <w:pPr>
        <w:pStyle w:val="97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13、技术要求响应及偏离表、商务要求响应及偏离表</w:t>
      </w:r>
      <w:r>
        <w:rPr>
          <w:rFonts w:ascii="宋体" w:hAnsi="宋体"/>
          <w:b/>
          <w:color w:val="000000"/>
          <w:szCs w:val="21"/>
          <w:highlight w:val="none"/>
        </w:rPr>
      </w:r>
      <w:r/>
    </w:p>
    <w:p>
      <w:pPr>
        <w:pStyle w:val="973"/>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13.1 投标人需对招标文件中的技术要求与商务要求逐项作出响应或偏离，并说明原因。</w:t>
      </w:r>
      <w:r>
        <w:rPr>
          <w:rFonts w:hint="eastAsia" w:ascii="宋体" w:hAnsi="宋体" w:eastAsia="宋体" w:cs="Times New Roman"/>
          <w:color w:val="000000"/>
          <w:highlight w:val="none"/>
          <w:lang w:val="zh-CN"/>
        </w:rPr>
      </w:r>
      <w:r/>
    </w:p>
    <w:p>
      <w:pPr>
        <w:pStyle w:val="973"/>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13.2 投标人可在投标文件中提供认为需要的其他技术文件或说明。</w:t>
      </w:r>
      <w:r>
        <w:rPr>
          <w:rFonts w:hint="eastAsia" w:ascii="宋体" w:hAnsi="宋体" w:eastAsia="宋体" w:cs="Times New Roman"/>
          <w:color w:val="000000"/>
          <w:highlight w:val="none"/>
          <w:lang w:val="zh-CN"/>
        </w:rPr>
      </w:r>
      <w:r/>
    </w:p>
    <w:p>
      <w:pPr>
        <w:pStyle w:val="973"/>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14、投标函和开标一览表</w:t>
      </w:r>
      <w:r>
        <w:rPr>
          <w:rFonts w:hint="eastAsia" w:ascii="宋体" w:hAnsi="宋体"/>
          <w:b/>
          <w:bCs/>
          <w:color w:val="000000"/>
          <w:highlight w:val="none"/>
        </w:rPr>
      </w:r>
      <w:r/>
    </w:p>
    <w:p>
      <w:pPr>
        <w:pStyle w:val="973"/>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14.1 投标人应按照招标文件中提供的格式完整、正确填写投标函、开标一览表。</w:t>
      </w:r>
      <w:r>
        <w:rPr>
          <w:rFonts w:hint="eastAsia" w:ascii="宋体" w:hAnsi="宋体" w:eastAsia="宋体" w:cs="Times New Roman"/>
          <w:color w:val="000000"/>
          <w:highlight w:val="none"/>
          <w:lang w:val="zh-CN"/>
        </w:rPr>
      </w:r>
      <w:r/>
    </w:p>
    <w:p>
      <w:pPr>
        <w:pStyle w:val="973"/>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Times New Roman"/>
          <w:color w:val="000000"/>
          <w:highlight w:val="none"/>
          <w:lang w:val="zh-CN"/>
        </w:rPr>
      </w:r>
      <w:r/>
    </w:p>
    <w:p>
      <w:pPr>
        <w:pStyle w:val="97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、投标有效期</w:t>
      </w:r>
      <w:r>
        <w:rPr>
          <w:rFonts w:hint="eastAsia" w:ascii="宋体" w:hAnsi="宋体" w:eastAsia="宋体"/>
          <w:b w:val="0"/>
          <w:bCs w:val="0"/>
          <w:color w:val="000000"/>
          <w:sz w:val="21"/>
          <w:szCs w:val="21"/>
          <w:highlight w:val="none"/>
        </w:rPr>
      </w:r>
      <w:r/>
    </w:p>
    <w:p>
      <w:pPr>
        <w:pStyle w:val="973"/>
        <w:ind w:firstLine="420"/>
        <w:spacing w:line="360" w:lineRule="auto"/>
        <w:rPr>
          <w:rFonts w:ascii="宋体" w:hAnsi="宋体"/>
          <w:bCs/>
          <w:color w:val="000000"/>
          <w:szCs w:val="21"/>
          <w:highlight w:val="none"/>
        </w:rPr>
      </w:pPr>
      <w:r/>
      <w:bookmarkStart w:id="45" w:name="_Toc20823297"/>
      <w:r/>
      <w:bookmarkStart w:id="46" w:name="_Toc16938541"/>
      <w:r>
        <w:rPr>
          <w:rFonts w:hint="eastAsia" w:ascii="宋体" w:hAnsi="宋体"/>
          <w:bCs/>
          <w:color w:val="000000"/>
          <w:szCs w:val="21"/>
          <w:highlight w:val="none"/>
        </w:rPr>
        <w:t xml:space="preserve">1</w:t>
      </w:r>
      <w:r>
        <w:rPr>
          <w:rFonts w:hint="eastAsia" w:ascii="宋体" w:hAnsi="宋体"/>
          <w:bCs/>
          <w:color w:val="000000"/>
          <w:szCs w:val="21"/>
          <w:highlight w:val="none"/>
          <w:lang w:val="en-US" w:eastAsia="zh-CN"/>
        </w:rPr>
        <w:t xml:space="preserve">5</w:t>
      </w:r>
      <w:r>
        <w:rPr>
          <w:rFonts w:hint="eastAsia" w:ascii="宋体" w:hAnsi="宋体"/>
          <w:bCs/>
          <w:color w:val="000000"/>
          <w:szCs w:val="21"/>
          <w:highlight w:val="none"/>
        </w:rPr>
        <w:t xml:space="preserve">.1 投标有效期为招标代理机构规定的开标之日后</w:t>
      </w:r>
      <w:r>
        <w:rPr>
          <w:rFonts w:hint="eastAsia" w:ascii="宋体" w:hAnsi="宋体"/>
          <w:b/>
          <w:bCs w:val="0"/>
          <w:color w:val="000000"/>
          <w:szCs w:val="21"/>
          <w:highlight w:val="none"/>
          <w:u w:val="single"/>
        </w:rPr>
        <w:t xml:space="preserve">六十（60）天</w:t>
      </w:r>
      <w:r>
        <w:rPr>
          <w:rFonts w:hint="eastAsia" w:ascii="宋体" w:hAnsi="宋体"/>
          <w:bCs/>
          <w:color w:val="000000"/>
          <w:szCs w:val="21"/>
          <w:highlight w:val="none"/>
        </w:rPr>
        <w:t xml:space="preserve">。投标有效期比规定短的将被视为未实质性响应招标文件而予以拒绝。</w:t>
      </w:r>
      <w:r>
        <w:rPr>
          <w:rFonts w:ascii="宋体" w:hAnsi="宋体"/>
          <w:bCs/>
          <w:color w:val="000000"/>
          <w:szCs w:val="21"/>
          <w:highlight w:val="none"/>
        </w:rPr>
      </w:r>
      <w:r/>
    </w:p>
    <w:p>
      <w:pPr>
        <w:pStyle w:val="977"/>
        <w:ind w:firstLine="422"/>
        <w:spacing w:before="0" w:after="0"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16、投标有效期的延长</w:t>
      </w:r>
      <w:r>
        <w:rPr>
          <w:rFonts w:hint="eastAsia" w:ascii="宋体" w:hAnsi="宋体" w:eastAsia="宋体" w:cs="Times New Roman"/>
          <w:color w:val="000000"/>
          <w:sz w:val="21"/>
          <w:szCs w:val="21"/>
          <w:highlight w:val="none"/>
        </w:rPr>
      </w:r>
      <w:r/>
    </w:p>
    <w:p>
      <w:pPr>
        <w:pStyle w:val="973"/>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lang w:val="en-US" w:eastAsia="zh-CN"/>
        </w:rPr>
        <w:t xml:space="preserve">6</w:t>
      </w:r>
      <w:r>
        <w:rPr>
          <w:rFonts w:hint="eastAsia"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w:t>
      </w:r>
      <w:r>
        <w:rPr>
          <w:rFonts w:hint="eastAsia" w:ascii="宋体" w:hAnsi="宋体" w:eastAsia="宋体" w:cs="Times New Roman"/>
          <w:bCs/>
          <w:color w:val="000000"/>
          <w:szCs w:val="21"/>
          <w:highlight w:val="none"/>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eastAsia="宋体" w:cs="Times New Roman"/>
          <w:bCs/>
          <w:color w:val="000000"/>
          <w:szCs w:val="21"/>
          <w:highlight w:val="none"/>
        </w:rPr>
      </w:r>
      <w:r/>
    </w:p>
    <w:p>
      <w:pPr>
        <w:pStyle w:val="977"/>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、投标文件</w:t>
      </w:r>
      <w:bookmarkEnd w:id="45"/>
      <w:r/>
      <w:bookmarkEnd w:id="46"/>
      <w:r>
        <w:rPr>
          <w:rFonts w:hint="eastAsia" w:ascii="宋体" w:hAnsi="宋体" w:eastAsia="宋体"/>
          <w:color w:val="000000"/>
          <w:sz w:val="21"/>
          <w:szCs w:val="21"/>
          <w:highlight w:val="none"/>
        </w:rPr>
        <w:t xml:space="preserve">的递交</w:t>
      </w:r>
      <w:r>
        <w:rPr>
          <w:rFonts w:hint="eastAsia" w:ascii="宋体" w:hAnsi="宋体" w:eastAsia="宋体"/>
          <w:color w:val="000000"/>
          <w:sz w:val="21"/>
          <w:szCs w:val="21"/>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7</w:t>
      </w:r>
      <w:r>
        <w:rPr>
          <w:rFonts w:hint="eastAsia" w:ascii="宋体" w:hAnsi="宋体"/>
          <w:color w:val="000000"/>
          <w:highlight w:val="none"/>
        </w:rPr>
        <w:t xml:space="preserve">.1 电子投标文件的递交</w:t>
      </w:r>
      <w:r>
        <w:rPr>
          <w:rFonts w:hint="eastAsia" w:ascii="宋体" w:hAnsi="宋体"/>
          <w:color w:val="000000"/>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投标人应当按照《操作手册》规定，在投标截止时间前制作并上传电子投标文件。</w:t>
      </w:r>
      <w:bookmarkStart w:id="47" w:name="_Toc16938542"/>
      <w:r/>
      <w:bookmarkStart w:id="48" w:name="_Toc20823298"/>
      <w:r>
        <w:rPr>
          <w:rFonts w:hint="eastAsia" w:ascii="宋体" w:hAnsi="宋体"/>
          <w:color w:val="000000"/>
          <w:highlight w:val="none"/>
        </w:rPr>
      </w:r>
      <w:r/>
    </w:p>
    <w:p>
      <w:pPr>
        <w:pStyle w:val="1026"/>
        <w:ind w:firstLine="422"/>
        <w:rPr>
          <w:rFonts w:hint="eastAsia" w:ascii="宋体" w:hAnsi="宋体"/>
          <w:bCs/>
          <w:color w:val="000000"/>
          <w:sz w:val="24"/>
          <w:highlight w:val="none"/>
        </w:rPr>
      </w:pPr>
      <w:r>
        <w:rPr>
          <w:rFonts w:hint="eastAsia" w:ascii="宋体" w:hAnsi="宋体"/>
          <w:b/>
          <w:bCs/>
          <w:color w:val="000000"/>
          <w:highlight w:val="none"/>
        </w:rPr>
        <w:t xml:space="preserve">1</w:t>
      </w:r>
      <w:r>
        <w:rPr>
          <w:rFonts w:hint="eastAsia" w:ascii="宋体" w:hAnsi="宋体"/>
          <w:b/>
          <w:bCs/>
          <w:color w:val="000000"/>
          <w:highlight w:val="none"/>
          <w:lang w:val="en-US" w:eastAsia="zh-CN"/>
        </w:rPr>
        <w:t xml:space="preserve">8</w:t>
      </w:r>
      <w:r>
        <w:rPr>
          <w:rFonts w:hint="eastAsia" w:ascii="宋体" w:hAnsi="宋体"/>
          <w:b/>
          <w:bCs/>
          <w:color w:val="000000"/>
          <w:highlight w:val="none"/>
        </w:rPr>
        <w:t xml:space="preserve">、投标截止日期</w:t>
      </w:r>
      <w:bookmarkEnd w:id="47"/>
      <w:r/>
      <w:bookmarkEnd w:id="48"/>
      <w:r>
        <w:rPr>
          <w:rFonts w:hint="eastAsia" w:ascii="宋体" w:hAnsi="宋体"/>
          <w:bCs/>
          <w:color w:val="000000"/>
          <w:sz w:val="24"/>
          <w:highlight w:val="none"/>
        </w:rPr>
      </w:r>
      <w:r/>
    </w:p>
    <w:p>
      <w:pPr>
        <w:pStyle w:val="973"/>
        <w:ind w:firstLine="420"/>
        <w:spacing w:line="500" w:lineRule="exact"/>
        <w:rPr>
          <w:rFonts w:hint="eastAsia" w:ascii="宋体" w:hAnsi="宋体"/>
          <w:bCs/>
          <w:i/>
          <w:color w:val="000000"/>
          <w:szCs w:val="21"/>
          <w:highlight w:val="none"/>
          <w:u w:val="single"/>
        </w:rPr>
      </w:pPr>
      <w:r>
        <w:rPr>
          <w:rFonts w:hint="eastAsia" w:ascii="宋体" w:hAnsi="宋体"/>
          <w:i/>
          <w:color w:val="000000"/>
          <w:szCs w:val="21"/>
          <w:highlight w:val="none"/>
          <w:u w:val="single"/>
        </w:rPr>
        <w:t xml:space="preserve">18.1</w:t>
      </w:r>
      <w:r>
        <w:rPr>
          <w:rFonts w:hint="eastAsia" w:ascii="宋体" w:hAnsi="宋体"/>
          <w:bCs/>
          <w:i/>
          <w:color w:val="000000"/>
          <w:szCs w:val="21"/>
          <w:highlight w:val="none"/>
          <w:u w:val="single"/>
        </w:rPr>
        <w:t xml:space="preserve"> </w:t>
      </w:r>
      <w:r>
        <w:rPr>
          <w:rFonts w:hint="eastAsia" w:ascii="宋体" w:hAnsi="宋体"/>
          <w:bCs/>
          <w:i/>
          <w:iCs/>
          <w:color w:val="000000"/>
          <w:szCs w:val="21"/>
          <w:highlight w:val="none"/>
          <w:u w:val="single"/>
        </w:rPr>
        <w:t xml:space="preserve">投标人上传电子投标文件的时间不得迟于招标公告中规定的投标截止时间。</w:t>
      </w:r>
      <w:r>
        <w:rPr>
          <w:rFonts w:hint="eastAsia" w:ascii="宋体" w:hAnsi="宋体"/>
          <w:bCs/>
          <w:i/>
          <w:color w:val="000000"/>
          <w:szCs w:val="21"/>
          <w:highlight w:val="none"/>
          <w:u w:val="singl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olor w:val="000000"/>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color w:val="000000"/>
          <w:highlight w:val="none"/>
        </w:rPr>
      </w:r>
      <w:r/>
    </w:p>
    <w:p>
      <w:pPr>
        <w:pStyle w:val="977"/>
        <w:ind w:firstLine="422"/>
        <w:spacing w:before="0" w:after="0" w:line="360" w:lineRule="auto"/>
        <w:rPr>
          <w:rFonts w:hint="eastAsia" w:ascii="宋体" w:hAnsi="宋体" w:eastAsia="宋体"/>
          <w:color w:val="000000"/>
          <w:sz w:val="21"/>
          <w:szCs w:val="21"/>
          <w:highlight w:val="none"/>
        </w:rPr>
      </w:pPr>
      <w:r/>
      <w:bookmarkStart w:id="49" w:name="_Toc20823299"/>
      <w:r/>
      <w:bookmarkStart w:id="50" w:name="_Toc16938543"/>
      <w:r>
        <w:rPr>
          <w:rFonts w:hint="eastAsia" w:ascii="宋体" w:hAnsi="宋体" w:eastAsia="宋体"/>
          <w:color w:val="000000"/>
          <w:sz w:val="21"/>
          <w:szCs w:val="21"/>
          <w:highlight w:val="none"/>
        </w:rPr>
        <w:t xml:space="preserve">19、投标文件</w:t>
      </w:r>
      <w:bookmarkEnd w:id="49"/>
      <w:r/>
      <w:bookmarkEnd w:id="50"/>
      <w:r>
        <w:rPr>
          <w:rFonts w:hint="eastAsia" w:ascii="宋体" w:hAnsi="宋体" w:eastAsia="宋体"/>
          <w:color w:val="000000"/>
          <w:sz w:val="21"/>
          <w:szCs w:val="21"/>
          <w:highlight w:val="none"/>
        </w:rPr>
        <w:t xml:space="preserve">的拒收</w:t>
      </w:r>
      <w:r>
        <w:rPr>
          <w:rFonts w:hint="eastAsia" w:ascii="宋体" w:hAnsi="宋体" w:eastAsia="宋体"/>
          <w:color w:val="000000"/>
          <w:sz w:val="21"/>
          <w:szCs w:val="21"/>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19.1代理机构拒绝接收在其规定的投标截止时间后上传的任何投标文件。</w:t>
      </w:r>
      <w:r>
        <w:rPr>
          <w:rFonts w:hint="eastAsia" w:ascii="宋体" w:hAnsi="宋体"/>
          <w:color w:val="000000"/>
          <w:highlight w:val="none"/>
        </w:rPr>
      </w:r>
      <w:r/>
    </w:p>
    <w:p>
      <w:pPr>
        <w:pStyle w:val="977"/>
        <w:ind w:firstLine="422"/>
        <w:spacing w:before="0" w:after="0" w:line="360" w:lineRule="auto"/>
        <w:rPr>
          <w:rFonts w:hint="eastAsia" w:ascii="宋体" w:hAnsi="宋体" w:eastAsia="宋体"/>
          <w:color w:val="000000"/>
          <w:sz w:val="21"/>
          <w:szCs w:val="21"/>
          <w:highlight w:val="none"/>
        </w:rPr>
      </w:pPr>
      <w:r/>
      <w:bookmarkStart w:id="51" w:name="_Toc16938544"/>
      <w:r/>
      <w:bookmarkStart w:id="52" w:name="_Toc20823300"/>
      <w:r>
        <w:rPr>
          <w:rFonts w:hint="eastAsia" w:ascii="宋体" w:hAnsi="宋体" w:eastAsia="宋体"/>
          <w:color w:val="000000"/>
          <w:sz w:val="21"/>
          <w:szCs w:val="21"/>
          <w:highlight w:val="none"/>
        </w:rPr>
        <w:t xml:space="preserve">20、投标文件的撤回和修改</w:t>
      </w:r>
      <w:bookmarkEnd w:id="51"/>
      <w:r/>
      <w:bookmarkEnd w:id="52"/>
      <w:r>
        <w:rPr>
          <w:rFonts w:hint="eastAsia" w:ascii="宋体" w:hAnsi="宋体" w:eastAsia="宋体"/>
          <w:color w:val="000000"/>
          <w:sz w:val="21"/>
          <w:szCs w:val="21"/>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20.1 投标文件的撤回</w:t>
      </w:r>
      <w:r>
        <w:rPr>
          <w:rFonts w:hint="eastAsia" w:ascii="宋体" w:hAnsi="宋体"/>
          <w:color w:val="000000"/>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20.1.1 电子投标文件的撤回</w:t>
      </w:r>
      <w:r>
        <w:rPr>
          <w:rFonts w:hint="eastAsia" w:ascii="宋体" w:hAnsi="宋体"/>
          <w:color w:val="000000"/>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投标人可在投标截止时间前，撤回其电子投标文件，具体操作方法见《操作手册》。</w:t>
      </w:r>
      <w:r>
        <w:rPr>
          <w:rFonts w:hint="eastAsia" w:ascii="宋体" w:hAnsi="宋体"/>
          <w:color w:val="000000"/>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20.1.2 投标人撤回电子投标文件，则认为其不再参与本项目投标活动。</w:t>
      </w:r>
      <w:r>
        <w:rPr>
          <w:rFonts w:hint="eastAsia" w:ascii="宋体" w:hAnsi="宋体"/>
          <w:color w:val="000000"/>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20.2 投标文件的修改</w:t>
      </w:r>
      <w:r>
        <w:rPr>
          <w:rFonts w:hint="eastAsia" w:ascii="宋体" w:hAnsi="宋体"/>
          <w:color w:val="000000"/>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投标人可在投标截止时间前，对其电子投标文件进行修改，具体操作方法见《操作手册》。</w:t>
      </w:r>
      <w:r>
        <w:rPr>
          <w:rFonts w:hint="eastAsia" w:ascii="宋体" w:hAnsi="宋体"/>
          <w:color w:val="000000"/>
          <w:highlight w:val="none"/>
        </w:rPr>
      </w:r>
      <w:r/>
    </w:p>
    <w:p>
      <w:pPr>
        <w:pStyle w:val="973"/>
        <w:ind w:firstLine="420"/>
        <w:spacing w:line="360" w:lineRule="auto"/>
        <w:rPr>
          <w:rFonts w:hint="eastAsia" w:ascii="宋体" w:hAnsi="宋体"/>
          <w:color w:val="000000"/>
          <w:highlight w:val="none"/>
        </w:rPr>
      </w:pPr>
      <w:r>
        <w:rPr>
          <w:rFonts w:hint="eastAsia" w:ascii="宋体" w:hAnsi="宋体"/>
          <w:color w:val="000000"/>
          <w:highlight w:val="none"/>
        </w:rPr>
        <w:t xml:space="preserve">20.3 在投标截止时间之后，投标人不得对其电子投标文件作任何修改。</w:t>
      </w:r>
      <w:r>
        <w:rPr>
          <w:rFonts w:hint="eastAsia" w:ascii="宋体" w:hAnsi="宋体"/>
          <w:color w:val="000000"/>
          <w:highlight w:val="none"/>
        </w:rPr>
      </w:r>
      <w:r/>
    </w:p>
    <w:p>
      <w:pPr>
        <w:pStyle w:val="973"/>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20.4 在投标截止时间至招标文件中规定的投标有效期满之间的这段时间内，投标人不得撤回其投标。</w:t>
      </w:r>
      <w:r>
        <w:rPr>
          <w:rFonts w:hint="eastAsia" w:ascii="宋体" w:hAnsi="宋体"/>
          <w:color w:val="000000"/>
          <w:szCs w:val="21"/>
          <w:highlight w:val="none"/>
        </w:rPr>
      </w:r>
      <w:r/>
    </w:p>
    <w:p>
      <w:pPr>
        <w:pStyle w:val="97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21、开标</w:t>
      </w:r>
      <w:r>
        <w:rPr>
          <w:rFonts w:hint="eastAsia" w:ascii="宋体" w:hAnsi="宋体" w:eastAsia="宋体"/>
          <w:b w:val="0"/>
          <w:bCs w:val="0"/>
          <w:color w:val="000000"/>
          <w:sz w:val="21"/>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代理机构将在招标公告中规定的时间和地点组织公开开标。投标人应当按照《操作手册》规定，参加开标活动和在苏采云系统规定的时间内对投标文件进行解密。</w:t>
      </w:r>
      <w:r>
        <w:rPr>
          <w:rFonts w:ascii="宋体" w:hAnsi="宋体"/>
          <w:bCs/>
          <w:color w:val="000000"/>
          <w:szCs w:val="21"/>
          <w:highlight w:val="none"/>
        </w:rPr>
      </w:r>
      <w:r/>
    </w:p>
    <w:p>
      <w:pPr>
        <w:pStyle w:val="973"/>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21.2开标仪式由</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组织。苏采云系统将自动对项目进行开标，并宣布各投标人名称和投标价格。</w:t>
      </w:r>
      <w:r>
        <w:rPr>
          <w:rFonts w:hint="eastAsia" w:ascii="宋体" w:hAnsi="宋体" w:eastAsia="宋体" w:cs="Times New Roman"/>
          <w:bCs/>
          <w:color w:val="000000"/>
          <w:szCs w:val="21"/>
          <w:highlight w:val="none"/>
        </w:rPr>
      </w:r>
      <w:r/>
    </w:p>
    <w:p>
      <w:pPr>
        <w:pStyle w:val="973"/>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21.3投标人在开标过程中涉及到的投标文件解密、开标结果确认等工作，应按照《操作手册》规定执行。</w:t>
      </w:r>
      <w:r>
        <w:rPr>
          <w:rFonts w:hint="eastAsia" w:ascii="宋体" w:hAnsi="宋体" w:eastAsia="宋体" w:cs="Times New Roman"/>
          <w:bCs/>
          <w:color w:val="000000"/>
          <w:szCs w:val="21"/>
          <w:highlight w:val="none"/>
        </w:rPr>
      </w:r>
      <w:r/>
    </w:p>
    <w:p>
      <w:pPr>
        <w:pStyle w:val="973"/>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Times New Roman"/>
          <w:bCs/>
          <w:color w:val="000000"/>
          <w:szCs w:val="21"/>
          <w:highlight w:val="none"/>
        </w:rPr>
      </w:r>
      <w:r/>
    </w:p>
    <w:p>
      <w:pPr>
        <w:pStyle w:val="977"/>
        <w:ind w:firstLine="422"/>
        <w:spacing w:before="0" w:after="0" w:line="360" w:lineRule="auto"/>
        <w:rPr>
          <w:rFonts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22、评标委员会</w:t>
      </w:r>
      <w:r>
        <w:rPr>
          <w:rFonts w:ascii="宋体" w:hAnsi="宋体" w:eastAsia="宋体"/>
          <w:b w:val="0"/>
          <w:bCs w:val="0"/>
          <w:color w:val="000000"/>
          <w:sz w:val="21"/>
          <w:szCs w:val="21"/>
          <w:highlight w:val="none"/>
        </w:rPr>
      </w:r>
      <w:r/>
    </w:p>
    <w:p>
      <w:pPr>
        <w:pStyle w:val="973"/>
        <w:spacing w:line="360" w:lineRule="auto"/>
        <w:rPr>
          <w:rFonts w:ascii="宋体" w:hAnsi="宋体"/>
          <w:bCs/>
          <w:color w:val="000000"/>
          <w:szCs w:val="21"/>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w:t>
      </w:r>
      <w:r>
        <w:rPr>
          <w:rFonts w:hint="eastAsia" w:ascii="宋体" w:hAnsi="宋体"/>
          <w:bCs/>
          <w:color w:val="000000"/>
          <w:szCs w:val="21"/>
          <w:highlight w:val="none"/>
        </w:rPr>
        <w:t xml:space="preserve">22.1 开标后，代理机构将立即组织评标委员会（以下简称评委会）进行评标。</w:t>
      </w:r>
      <w:r>
        <w:rPr>
          <w:rFonts w:ascii="宋体" w:hAnsi="宋体"/>
          <w:bCs/>
          <w:color w:val="000000"/>
          <w:szCs w:val="21"/>
          <w:highlight w:val="none"/>
        </w:rPr>
      </w:r>
      <w:r/>
    </w:p>
    <w:p>
      <w:pPr>
        <w:pStyle w:val="973"/>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973"/>
        <w:spacing w:line="360" w:lineRule="auto"/>
        <w:rPr>
          <w:rFonts w:hint="eastAsia" w:ascii="宋体" w:hAnsi="宋体"/>
          <w:color w:val="000000"/>
          <w:highlight w:val="none"/>
        </w:rPr>
      </w:pPr>
      <w:r>
        <w:rPr>
          <w:rFonts w:hint="eastAsia" w:ascii="宋体" w:hAnsi="宋体"/>
          <w:bCs/>
          <w:color w:val="000000"/>
          <w:szCs w:val="21"/>
          <w:highlight w:val="none"/>
        </w:rPr>
        <w:t xml:space="preserve">    22.3评委会独立工作，负责评审所有投标文件并确定中标候选人。</w:t>
      </w:r>
      <w:r>
        <w:rPr>
          <w:rFonts w:hint="eastAsia" w:ascii="宋体" w:hAnsi="宋体"/>
          <w:color w:val="000000"/>
          <w:highlight w:val="none"/>
        </w:rPr>
      </w:r>
      <w:r/>
    </w:p>
    <w:p>
      <w:pPr>
        <w:pStyle w:val="97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23、评标过程的保密与公正</w:t>
      </w:r>
      <w:r>
        <w:rPr>
          <w:rFonts w:hint="eastAsia" w:ascii="宋体" w:hAnsi="宋体" w:eastAsia="宋体"/>
          <w:b w:val="0"/>
          <w:bCs w:val="0"/>
          <w:color w:val="000000"/>
          <w:sz w:val="21"/>
          <w:szCs w:val="21"/>
          <w:highlight w:val="none"/>
        </w:rPr>
      </w:r>
      <w:r/>
    </w:p>
    <w:p>
      <w:pPr>
        <w:pStyle w:val="97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23.1凡是与审查、澄清、评价和比较投标的有关资料以及授标建议等，采购人、评委、</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均不得向投标人或与评标无关的其他人员透露。</w:t>
      </w:r>
      <w:r>
        <w:rPr>
          <w:rFonts w:hint="eastAsia" w:ascii="宋体" w:hAnsi="宋体" w:eastAsia="宋体" w:cs="Times New Roman"/>
          <w:bCs/>
          <w:color w:val="000000"/>
          <w:szCs w:val="21"/>
          <w:highlight w:val="none"/>
        </w:rPr>
      </w:r>
      <w:r/>
    </w:p>
    <w:p>
      <w:pPr>
        <w:pStyle w:val="97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23.2在评标过程中，投标人不得以任何行为影响评标过程，否则其投标文件将被作为无效投标文件。</w:t>
      </w:r>
      <w:r>
        <w:rPr>
          <w:rFonts w:hint="eastAsia" w:ascii="宋体" w:hAnsi="宋体" w:eastAsia="宋体" w:cs="Times New Roman"/>
          <w:bCs/>
          <w:color w:val="000000"/>
          <w:szCs w:val="21"/>
          <w:highlight w:val="none"/>
        </w:rPr>
      </w:r>
      <w:r/>
    </w:p>
    <w:p>
      <w:pPr>
        <w:pStyle w:val="97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23.3 </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和评标委员会不向未中标的投标人解释未中标原因，也不公布评标过程中的相关细节。</w:t>
      </w:r>
      <w:r>
        <w:rPr>
          <w:rFonts w:hint="eastAsia" w:ascii="宋体" w:hAnsi="宋体" w:eastAsia="宋体" w:cs="Times New Roman"/>
          <w:bCs/>
          <w:color w:val="000000"/>
          <w:szCs w:val="21"/>
          <w:highlight w:val="none"/>
        </w:rPr>
      </w:r>
      <w:r/>
    </w:p>
    <w:p>
      <w:pPr>
        <w:pStyle w:val="97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Times New Roman"/>
          <w:bCs/>
          <w:color w:val="000000"/>
          <w:szCs w:val="21"/>
          <w:highlight w:val="none"/>
        </w:rPr>
      </w:r>
      <w:r/>
    </w:p>
    <w:p>
      <w:pPr>
        <w:pStyle w:val="97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24、投标</w:t>
      </w:r>
      <w:r>
        <w:rPr>
          <w:rFonts w:hint="eastAsia" w:ascii="宋体" w:hAnsi="宋体" w:eastAsia="宋体"/>
          <w:color w:val="000000"/>
          <w:sz w:val="21"/>
          <w:szCs w:val="21"/>
          <w:highlight w:val="none"/>
          <w:lang w:val="en-US" w:eastAsia="zh-CN"/>
        </w:rPr>
        <w:t xml:space="preserve">文件</w:t>
      </w:r>
      <w:r>
        <w:rPr>
          <w:rFonts w:hint="eastAsia" w:ascii="宋体" w:hAnsi="宋体" w:eastAsia="宋体"/>
          <w:color w:val="000000"/>
          <w:sz w:val="21"/>
          <w:szCs w:val="21"/>
          <w:highlight w:val="none"/>
        </w:rPr>
        <w:t xml:space="preserve">的澄清</w:t>
      </w:r>
      <w:r>
        <w:rPr>
          <w:rFonts w:hint="eastAsia" w:ascii="宋体" w:hAnsi="宋体" w:eastAsia="宋体"/>
          <w:b w:val="0"/>
          <w:bCs w:val="0"/>
          <w:color w:val="000000"/>
          <w:sz w:val="21"/>
          <w:szCs w:val="21"/>
          <w:highlight w:val="none"/>
        </w:rPr>
      </w:r>
      <w:r/>
    </w:p>
    <w:p>
      <w:pPr>
        <w:pStyle w:val="97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Times New Roman"/>
          <w:bCs/>
          <w:color w:val="000000"/>
          <w:szCs w:val="21"/>
          <w:highlight w:val="none"/>
        </w:rPr>
      </w:r>
      <w:r/>
    </w:p>
    <w:p>
      <w:pPr>
        <w:pStyle w:val="97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投标人的澄清、说明或者补正不得超出投标文件的范围或者改变投标文件的实质性内容。</w:t>
      </w:r>
      <w:r>
        <w:rPr>
          <w:rFonts w:hint="eastAsia" w:ascii="宋体" w:hAnsi="宋体" w:eastAsia="宋体" w:cs="Times New Roman"/>
          <w:bCs/>
          <w:color w:val="000000"/>
          <w:szCs w:val="21"/>
          <w:highlight w:val="none"/>
        </w:rPr>
      </w:r>
      <w:r/>
    </w:p>
    <w:p>
      <w:pPr>
        <w:pStyle w:val="97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评标委员会并非对每个投标人都做澄清要求。</w:t>
      </w:r>
      <w:r>
        <w:rPr>
          <w:rFonts w:hint="eastAsia" w:ascii="宋体" w:hAnsi="宋体" w:eastAsia="宋体" w:cs="Times New Roman"/>
          <w:bCs/>
          <w:color w:val="000000"/>
          <w:szCs w:val="21"/>
          <w:highlight w:val="none"/>
        </w:rPr>
      </w:r>
      <w:r/>
    </w:p>
    <w:p>
      <w:pPr>
        <w:pStyle w:val="97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Times New Roman"/>
          <w:bCs/>
          <w:color w:val="000000"/>
          <w:szCs w:val="21"/>
          <w:highlight w:val="none"/>
        </w:rPr>
      </w:r>
      <w:r/>
    </w:p>
    <w:p>
      <w:pPr>
        <w:pStyle w:val="973"/>
        <w:ind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bCs/>
          <w:color w:val="000000"/>
          <w:szCs w:val="21"/>
          <w:highlight w:val="none"/>
        </w:rPr>
        <w:t xml:space="preserve">24.3 接到评委会澄清、说明和补正要求的投标人如未按规定做出澄清、说明和补正，其风险由投标人自行承担。</w:t>
      </w:r>
      <w:r>
        <w:rPr>
          <w:rFonts w:hint="eastAsia" w:ascii="宋体" w:hAnsi="宋体"/>
          <w:sz w:val="24"/>
          <w:szCs w:val="24"/>
          <w:highlight w:val="none"/>
        </w:rPr>
      </w:r>
      <w:r/>
    </w:p>
    <w:p>
      <w:pPr>
        <w:pStyle w:val="977"/>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25、对投标文件的初审</w:t>
      </w:r>
      <w:r>
        <w:rPr>
          <w:rFonts w:hint="eastAsia" w:ascii="宋体" w:hAnsi="宋体" w:eastAsia="宋体"/>
          <w:b w:val="0"/>
          <w:bCs w:val="0"/>
          <w:color w:val="000000"/>
          <w:sz w:val="21"/>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973"/>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973"/>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w:t>
      </w:r>
      <w:r>
        <w:rPr>
          <w:rFonts w:hint="eastAsia" w:ascii="宋体" w:hAnsi="宋体"/>
          <w:color w:val="000000"/>
          <w:highlight w:val="none"/>
          <w:lang w:val="en-US" w:eastAsia="zh-CN"/>
        </w:rPr>
        <w:t xml:space="preserve">6</w:t>
      </w:r>
      <w:r>
        <w:rPr>
          <w:rFonts w:hint="eastAsia" w:ascii="宋体" w:hAnsi="宋体"/>
          <w:color w:val="000000"/>
          <w:highlight w:val="none"/>
        </w:rPr>
        <w:t xml:space="preserve"> 投标人在开、评标全过程中应保持通讯畅通，及时登录苏采云系统查阅、答复相关信息，并安排专人与</w:t>
      </w:r>
      <w:r>
        <w:rPr>
          <w:rFonts w:hint="eastAsia" w:ascii="宋体" w:hAnsi="宋体"/>
          <w:color w:val="000000"/>
          <w:highlight w:val="none"/>
          <w:lang w:val="en-US" w:eastAsia="zh-CN"/>
        </w:rPr>
        <w:t xml:space="preserve">代理机构</w:t>
      </w:r>
      <w:r>
        <w:rPr>
          <w:rFonts w:hint="eastAsia" w:ascii="宋体" w:hAnsi="宋体"/>
          <w:color w:val="000000"/>
          <w:highlight w:val="none"/>
        </w:rPr>
        <w:t xml:space="preserve">及评标委员会联系。</w:t>
      </w:r>
      <w:r>
        <w:rPr>
          <w:rFonts w:hint="eastAsia" w:ascii="宋体" w:hAnsi="宋体"/>
          <w:color w:val="000000"/>
          <w:highlight w:val="none"/>
        </w:rPr>
      </w:r>
      <w:r/>
    </w:p>
    <w:p>
      <w:pPr>
        <w:pStyle w:val="977"/>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26、无效投标条款和废标条款</w:t>
      </w:r>
      <w:r>
        <w:rPr>
          <w:rFonts w:hint="eastAsia" w:ascii="宋体" w:hAnsi="宋体" w:eastAsia="宋体"/>
          <w:color w:val="000000"/>
          <w:sz w:val="21"/>
          <w:szCs w:val="21"/>
          <w:highlight w:val="none"/>
        </w:rPr>
      </w:r>
      <w:r/>
    </w:p>
    <w:p>
      <w:pPr>
        <w:pStyle w:val="97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26.1无效投标条款</w:t>
      </w:r>
      <w:r>
        <w:rPr>
          <w:rFonts w:hint="eastAsia" w:ascii="宋体" w:hAnsi="宋体" w:eastAsia="宋体"/>
          <w:b w:val="0"/>
          <w:bCs w:val="0"/>
          <w:color w:val="000000"/>
          <w:sz w:val="21"/>
          <w:szCs w:val="21"/>
          <w:highlight w:val="none"/>
        </w:rPr>
      </w:r>
      <w:r/>
    </w:p>
    <w:p>
      <w:pPr>
        <w:pStyle w:val="97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26.1.1 投标人在苏采云系统规定的时间内未成功解密电子投标文件的。</w:t>
      </w:r>
      <w:r>
        <w:rPr>
          <w:rFonts w:hint="eastAsia" w:ascii="宋体" w:hAnsi="宋体" w:eastAsia="宋体"/>
          <w:b w:val="0"/>
          <w:bCs w:val="0"/>
          <w:color w:val="000000"/>
          <w:sz w:val="21"/>
          <w:szCs w:val="21"/>
          <w:highlight w:val="none"/>
        </w:rPr>
      </w:r>
      <w:r/>
    </w:p>
    <w:p>
      <w:pPr>
        <w:pStyle w:val="97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26.1.2 投标人未按照招标文件要求上传电子投标文件的。</w:t>
      </w:r>
      <w:r>
        <w:rPr>
          <w:rFonts w:hint="eastAsia" w:ascii="宋体" w:hAnsi="宋体" w:eastAsia="宋体"/>
          <w:b w:val="0"/>
          <w:bCs w:val="0"/>
          <w:color w:val="000000"/>
          <w:sz w:val="21"/>
          <w:szCs w:val="21"/>
          <w:highlight w:val="none"/>
        </w:rPr>
      </w:r>
      <w:r/>
    </w:p>
    <w:p>
      <w:pPr>
        <w:pStyle w:val="97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26.1.3同一投标人提交两个（含两个）以上不同的投标报价的。</w:t>
      </w:r>
      <w:r>
        <w:rPr>
          <w:rFonts w:hint="eastAsia" w:ascii="宋体" w:hAnsi="宋体" w:eastAsia="宋体"/>
          <w:b w:val="0"/>
          <w:bCs w:val="0"/>
          <w:color w:val="000000"/>
          <w:sz w:val="21"/>
          <w:szCs w:val="21"/>
          <w:highlight w:val="none"/>
        </w:rPr>
      </w:r>
      <w:r/>
    </w:p>
    <w:p>
      <w:pPr>
        <w:pStyle w:val="97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26.1.4投标人不具备招标文件中规定资格要求的。</w:t>
      </w:r>
      <w:r>
        <w:rPr>
          <w:rFonts w:hint="eastAsia" w:ascii="宋体" w:hAnsi="宋体" w:eastAsia="宋体"/>
          <w:b w:val="0"/>
          <w:bCs w:val="0"/>
          <w:color w:val="000000"/>
          <w:sz w:val="21"/>
          <w:szCs w:val="21"/>
          <w:highlight w:val="none"/>
        </w:rPr>
      </w:r>
      <w:r/>
    </w:p>
    <w:p>
      <w:pPr>
        <w:pStyle w:val="97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26.1.5投标人的报价超过了采购预算或最高限价的。</w:t>
      </w:r>
      <w:r>
        <w:rPr>
          <w:rFonts w:hint="eastAsia" w:ascii="宋体" w:hAnsi="宋体" w:eastAsia="宋体"/>
          <w:b w:val="0"/>
          <w:bCs w:val="0"/>
          <w:color w:val="000000"/>
          <w:sz w:val="21"/>
          <w:szCs w:val="21"/>
          <w:highlight w:val="none"/>
        </w:rPr>
      </w:r>
      <w:r/>
    </w:p>
    <w:p>
      <w:pPr>
        <w:pStyle w:val="97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26.1.6未通过符合性审查的。</w:t>
      </w:r>
      <w:r>
        <w:rPr>
          <w:rFonts w:hint="eastAsia" w:ascii="宋体" w:hAnsi="宋体" w:eastAsia="宋体"/>
          <w:b w:val="0"/>
          <w:bCs w:val="0"/>
          <w:color w:val="000000"/>
          <w:sz w:val="21"/>
          <w:szCs w:val="21"/>
          <w:highlight w:val="none"/>
        </w:rPr>
      </w:r>
      <w:r/>
    </w:p>
    <w:p>
      <w:pPr>
        <w:pStyle w:val="97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26.1.7不符合招标文件中规定的其他实质性要求和条件的</w:t>
      </w:r>
      <w:r>
        <w:rPr>
          <w:rFonts w:hint="eastAsia" w:ascii="宋体" w:hAnsi="宋体" w:eastAsia="宋体"/>
          <w:b w:val="0"/>
          <w:bCs w:val="0"/>
          <w:i/>
          <w:iCs/>
          <w:color w:val="000000"/>
          <w:sz w:val="21"/>
          <w:szCs w:val="21"/>
          <w:highlight w:val="none"/>
          <w:u w:val="single"/>
        </w:rPr>
        <w:t xml:space="preserve">（本招标文件中斜体且有下划线部分为实质性要求和条件）。</w:t>
      </w:r>
      <w:r>
        <w:rPr>
          <w:rFonts w:hint="eastAsia" w:ascii="宋体" w:hAnsi="宋体" w:eastAsia="宋体"/>
          <w:b w:val="0"/>
          <w:bCs w:val="0"/>
          <w:color w:val="000000"/>
          <w:sz w:val="21"/>
          <w:szCs w:val="21"/>
          <w:highlight w:val="none"/>
        </w:rPr>
      </w:r>
      <w:r/>
    </w:p>
    <w:p>
      <w:pPr>
        <w:pStyle w:val="97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26.1.8 投标人被 “信用中国”网站（www.creditchina.gov.cn）列入失信被执行人或重大税收违法案件当事人名单或政府采购严重失信行为记录名单</w:t>
      </w:r>
      <w:r>
        <w:rPr>
          <w:rFonts w:hint="eastAsia" w:ascii="宋体" w:hAnsi="宋体" w:eastAsia="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lang w:val="en-US" w:eastAsia="zh-CN"/>
        </w:rPr>
        <w:t xml:space="preserve">被</w:t>
      </w:r>
      <w:r>
        <w:rPr>
          <w:rFonts w:hint="eastAsia" w:ascii="宋体" w:hAnsi="宋体" w:eastAsia="宋体"/>
          <w:b w:val="0"/>
          <w:bCs w:val="0"/>
          <w:color w:val="000000"/>
          <w:sz w:val="21"/>
          <w:szCs w:val="21"/>
          <w:highlight w:val="none"/>
        </w:rPr>
        <w:t xml:space="preserve">“中国政府采购网"(www.ccgp.gov.cn)</w:t>
      </w:r>
      <w:r>
        <w:rPr>
          <w:rFonts w:hint="eastAsia" w:ascii="宋体" w:hAnsi="宋体" w:eastAsia="宋体"/>
          <w:b w:val="0"/>
          <w:bCs w:val="0"/>
          <w:color w:val="000000"/>
          <w:sz w:val="21"/>
          <w:szCs w:val="21"/>
          <w:highlight w:val="none"/>
          <w:lang w:val="en-US" w:eastAsia="zh-CN"/>
        </w:rPr>
        <w:t xml:space="preserve">列入政府采购严重失信行为记录名单，</w:t>
      </w:r>
      <w:r>
        <w:rPr>
          <w:rFonts w:hint="eastAsia" w:ascii="宋体" w:hAnsi="宋体" w:eastAsia="宋体"/>
          <w:b w:val="0"/>
          <w:bCs w:val="0"/>
          <w:color w:val="000000"/>
          <w:sz w:val="21"/>
          <w:szCs w:val="21"/>
          <w:highlight w:val="none"/>
        </w:rPr>
        <w:t xml:space="preserve">或查询“信用中国”网站后发现投标人存在其他不符合《中华人民共和国政府采购法》第二十二条规定条件的信用记录。</w:t>
      </w:r>
      <w:r>
        <w:rPr>
          <w:rFonts w:hint="eastAsia" w:ascii="宋体" w:hAnsi="宋体" w:eastAsia="宋体"/>
          <w:b w:val="0"/>
          <w:bCs w:val="0"/>
          <w:color w:val="000000"/>
          <w:sz w:val="21"/>
          <w:szCs w:val="21"/>
          <w:highlight w:val="none"/>
        </w:rPr>
      </w:r>
      <w:r/>
    </w:p>
    <w:p>
      <w:pPr>
        <w:pStyle w:val="97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26.1.9  投标文件含有采购人不能接受的附加条件的。</w:t>
      </w:r>
      <w:r>
        <w:rPr>
          <w:rFonts w:hint="eastAsia" w:ascii="宋体" w:hAnsi="宋体" w:eastAsia="宋体"/>
          <w:b w:val="0"/>
          <w:bCs w:val="0"/>
          <w:color w:val="000000"/>
          <w:sz w:val="21"/>
          <w:szCs w:val="21"/>
          <w:highlight w:val="none"/>
        </w:rPr>
      </w:r>
      <w:r/>
    </w:p>
    <w:p>
      <w:pPr>
        <w:pStyle w:val="97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26.1.10</w:t>
      </w:r>
      <w:r>
        <w:rPr>
          <w:rFonts w:hint="eastAsia" w:ascii="宋体" w:hAnsi="宋体" w:eastAsia="宋体"/>
          <w:b/>
          <w:bCs/>
          <w:color w:val="ff0000"/>
          <w:sz w:val="21"/>
          <w:szCs w:val="21"/>
          <w:highlight w:val="none"/>
          <w:lang w:val="en-US" w:eastAsia="zh-CN"/>
        </w:rPr>
        <w:t xml:space="preserve">异常低价投标</w:t>
      </w:r>
      <w:r>
        <w:rPr>
          <w:rFonts w:hint="eastAsia" w:ascii="宋体" w:hAnsi="宋体" w:eastAsia="宋体"/>
          <w:b/>
          <w:bCs/>
          <w:color w:val="ff0000"/>
          <w:sz w:val="21"/>
          <w:szCs w:val="21"/>
          <w:highlight w:val="none"/>
        </w:rPr>
      </w:r>
      <w:r/>
    </w:p>
    <w:p>
      <w:pPr>
        <w:pStyle w:val="97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1投标报价低于全部通过符合性审查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%的，即投标报价&lt;全部通过符合性审查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w:t>
      </w:r>
      <w:r>
        <w:rPr>
          <w:rFonts w:hint="eastAsia" w:ascii="宋体" w:hAnsi="宋体" w:eastAsia="宋体"/>
          <w:b/>
          <w:bCs/>
          <w:color w:val="ff0000"/>
          <w:sz w:val="21"/>
          <w:szCs w:val="21"/>
          <w:highlight w:val="none"/>
        </w:rPr>
      </w:r>
      <w:r/>
    </w:p>
    <w:p>
      <w:pPr>
        <w:pStyle w:val="97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2投标报价低于通过符合性审查的次低报价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%的，即投标报价&lt;通过符合性审查的次低报价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w:t>
      </w:r>
      <w:r>
        <w:rPr>
          <w:rFonts w:hint="eastAsia" w:ascii="宋体" w:hAnsi="宋体" w:eastAsia="宋体"/>
          <w:b/>
          <w:bCs/>
          <w:color w:val="ff0000"/>
          <w:sz w:val="21"/>
          <w:szCs w:val="21"/>
          <w:highlight w:val="none"/>
        </w:rPr>
      </w:r>
      <w:r/>
    </w:p>
    <w:p>
      <w:pPr>
        <w:pStyle w:val="97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投标报价低于采购项目最高限价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%的，即投标报价&lt;采购项目最高限价×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w:t>
      </w:r>
      <w:r>
        <w:rPr>
          <w:rFonts w:hint="eastAsia" w:ascii="宋体" w:hAnsi="宋体" w:eastAsia="宋体"/>
          <w:b/>
          <w:bCs/>
          <w:color w:val="ff0000"/>
          <w:sz w:val="21"/>
          <w:szCs w:val="21"/>
          <w:highlight w:val="none"/>
        </w:rPr>
      </w:r>
      <w:r/>
    </w:p>
    <w:p>
      <w:pPr>
        <w:pStyle w:val="97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评审委员会基于专业判断，认为</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报价过低，有可能影响产品质量或者不能诚信履约的其他情形。</w:t>
      </w:r>
      <w:r>
        <w:rPr>
          <w:rFonts w:hint="eastAsia" w:ascii="宋体" w:hAnsi="宋体" w:eastAsia="宋体"/>
          <w:b/>
          <w:bCs/>
          <w:color w:val="ff0000"/>
          <w:sz w:val="21"/>
          <w:szCs w:val="21"/>
          <w:highlight w:val="none"/>
        </w:rPr>
      </w:r>
      <w:r/>
    </w:p>
    <w:p>
      <w:pPr>
        <w:pStyle w:val="97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26.1.10.5</w:t>
      </w:r>
      <w:r>
        <w:rPr>
          <w:rFonts w:hint="eastAsia" w:ascii="宋体" w:hAnsi="宋体" w:eastAsia="宋体"/>
          <w:b/>
          <w:bCs/>
          <w:color w:val="ff0000"/>
          <w:sz w:val="21"/>
          <w:szCs w:val="21"/>
          <w:highlight w:val="none"/>
        </w:rPr>
        <w:t xml:space="preserve">相关法律法规对</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报价有规定的，从其规定。</w:t>
      </w:r>
      <w:r>
        <w:rPr>
          <w:rFonts w:hint="eastAsia" w:ascii="宋体" w:hAnsi="宋体" w:eastAsia="宋体"/>
          <w:b/>
          <w:bCs/>
          <w:color w:val="ff0000"/>
          <w:sz w:val="21"/>
          <w:szCs w:val="21"/>
          <w:highlight w:val="none"/>
        </w:rPr>
      </w:r>
      <w:r/>
    </w:p>
    <w:p>
      <w:pPr>
        <w:pStyle w:val="97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26.1.10.6</w:t>
      </w:r>
      <w:r>
        <w:rPr>
          <w:rFonts w:hint="eastAsia" w:ascii="宋体" w:hAnsi="宋体" w:eastAsia="宋体"/>
          <w:b/>
          <w:bCs/>
          <w:color w:val="ff0000"/>
          <w:sz w:val="21"/>
          <w:szCs w:val="21"/>
          <w:highlight w:val="none"/>
        </w:rPr>
        <w:t xml:space="preserve">评审委员会启动异常低价投标审查后，属于前述第</w:t>
      </w: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1项至第</w:t>
      </w: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项情形的，应当要求相关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的合理时间一般不少于30分钟。其中，属于第</w:t>
      </w: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项情形，</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已随投标文件一并提交相关书面说明及必要的证明材料的，在评审现场可不再重复提交。</w:t>
      </w:r>
      <w:r>
        <w:rPr>
          <w:rFonts w:hint="eastAsia" w:ascii="宋体" w:hAnsi="宋体" w:eastAsia="宋体"/>
          <w:b/>
          <w:bCs/>
          <w:color w:val="ff0000"/>
          <w:sz w:val="21"/>
          <w:szCs w:val="21"/>
          <w:highlight w:val="none"/>
        </w:rPr>
      </w:r>
      <w:r/>
    </w:p>
    <w:p>
      <w:pPr>
        <w:pStyle w:val="97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26.1.10.7</w:t>
      </w:r>
      <w:r>
        <w:rPr>
          <w:rFonts w:hint="eastAsia" w:ascii="宋体" w:hAnsi="宋体" w:eastAsia="宋体"/>
          <w:b/>
          <w:bCs/>
          <w:color w:val="ff0000"/>
          <w:sz w:val="21"/>
          <w:szCs w:val="21"/>
          <w:highlight w:val="none"/>
        </w:rPr>
        <w:t xml:space="preserve">评审委员会依据专业经验，参考同类项目中标价格、类似产品市场价格水平、行业人工费用标准、国家有关部门指导行业协会发布的行业平均成本等情况，对报价合理性进行判断。</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不能提供书面说明、证明材料，或者提供的书面说明、证明材料不能证明其报价合理性的，评审委员会应当将其作为无效投标处理。</w:t>
      </w:r>
      <w:r>
        <w:rPr>
          <w:rFonts w:hint="eastAsia" w:ascii="宋体" w:hAnsi="宋体" w:eastAsia="宋体"/>
          <w:b/>
          <w:bCs/>
          <w:color w:val="ff0000"/>
          <w:sz w:val="21"/>
          <w:szCs w:val="21"/>
          <w:highlight w:val="none"/>
        </w:rPr>
      </w:r>
      <w:r/>
    </w:p>
    <w:p>
      <w:pPr>
        <w:pStyle w:val="97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26.1.10.8</w:t>
      </w:r>
      <w:r>
        <w:rPr>
          <w:rFonts w:hint="eastAsia" w:ascii="宋体" w:hAnsi="宋体" w:eastAsia="宋体"/>
          <w:b/>
          <w:bCs/>
          <w:color w:val="ff0000"/>
          <w:sz w:val="21"/>
          <w:szCs w:val="21"/>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b/>
          <w:bCs/>
          <w:color w:val="ff0000"/>
          <w:sz w:val="21"/>
          <w:szCs w:val="21"/>
          <w:highlight w:val="none"/>
        </w:rPr>
      </w:r>
      <w:r/>
    </w:p>
    <w:p>
      <w:pPr>
        <w:pStyle w:val="97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26.1.10.9</w:t>
      </w:r>
      <w:r>
        <w:rPr>
          <w:rFonts w:hint="eastAsia" w:ascii="宋体" w:hAnsi="宋体" w:eastAsia="宋体"/>
          <w:b/>
          <w:bCs/>
          <w:color w:val="ff0000"/>
          <w:sz w:val="21"/>
          <w:szCs w:val="21"/>
          <w:highlight w:val="none"/>
        </w:rPr>
        <w:t xml:space="preserve">异常低价投标审查的启动原因、审查意见和审查结果应当在评审报告中记录，并随</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提供的相关书面说明及证明材料，以及评审委员会有关互联网浏览、查询历史一并归档。</w:t>
      </w:r>
      <w:r>
        <w:rPr>
          <w:rFonts w:hint="eastAsia" w:ascii="宋体" w:hAnsi="宋体" w:eastAsia="宋体"/>
          <w:b/>
          <w:bCs/>
          <w:color w:val="ff0000"/>
          <w:sz w:val="21"/>
          <w:szCs w:val="21"/>
          <w:highlight w:val="none"/>
        </w:rPr>
      </w:r>
      <w:r/>
    </w:p>
    <w:p>
      <w:pPr>
        <w:pStyle w:val="973"/>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Cs w:val="21"/>
          <w:highlight w:val="none"/>
          <w:lang w:val="en-US" w:eastAsia="zh-CN"/>
        </w:rPr>
        <w:t xml:space="preserve">原件扫描件</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2 </w:t>
      </w:r>
      <w:r>
        <w:rPr>
          <w:rFonts w:hint="eastAsia" w:ascii="宋体" w:hAnsi="宋体"/>
          <w:bCs/>
          <w:color w:val="000000"/>
          <w:szCs w:val="21"/>
          <w:highlight w:val="none"/>
        </w:rPr>
        <w:t xml:space="preserve">投标文件未按照招标文件要求加盖</w:t>
      </w:r>
      <w:r>
        <w:rPr>
          <w:rFonts w:hint="eastAsia" w:ascii="宋体" w:hAnsi="宋体"/>
          <w:bCs/>
          <w:color w:val="000000"/>
          <w:szCs w:val="21"/>
          <w:highlight w:val="none"/>
          <w:lang w:val="en-US" w:eastAsia="zh-CN"/>
        </w:rPr>
        <w:t xml:space="preserve">CA</w:t>
      </w:r>
      <w:r>
        <w:rPr>
          <w:rFonts w:hint="eastAsia" w:ascii="宋体" w:hAnsi="宋体"/>
          <w:bCs/>
          <w:color w:val="000000"/>
          <w:szCs w:val="21"/>
          <w:highlight w:val="none"/>
        </w:rPr>
        <w:t xml:space="preserve">电子</w:t>
      </w:r>
      <w:r>
        <w:rPr>
          <w:rFonts w:hint="eastAsia" w:ascii="宋体" w:hAnsi="宋体"/>
          <w:bCs/>
          <w:color w:val="000000"/>
          <w:szCs w:val="21"/>
          <w:highlight w:val="none"/>
          <w:lang w:val="en-US" w:eastAsia="zh-CN"/>
        </w:rPr>
        <w:t xml:space="preserve">公章</w:t>
      </w:r>
      <w:r>
        <w:rPr>
          <w:rFonts w:hint="eastAsia" w:ascii="宋体" w:hAnsi="宋体"/>
          <w:bCs/>
          <w:color w:val="000000"/>
          <w:szCs w:val="21"/>
          <w:highlight w:val="none"/>
          <w:lang w:val="en-US" w:eastAsia="zh-CN"/>
        </w:rPr>
        <w:t xml:space="preserve">的</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lang w:val="en-US" w:eastAsia="zh-CN"/>
        </w:rPr>
        <w:t xml:space="preserve"> </w:t>
      </w:r>
      <w:r>
        <w:rPr>
          <w:rFonts w:hint="eastAsia" w:ascii="宋体" w:hAnsi="宋体"/>
          <w:bCs/>
          <w:color w:val="000000"/>
          <w:szCs w:val="21"/>
          <w:highlight w:val="none"/>
        </w:rPr>
        <w:t xml:space="preserve">其他法律、法规及本招标文件规定的属无效投标的情形。</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977"/>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26.2.1符合专业条件的供应商或者对招标文件作实质响应的供应商不足三家的。</w:t>
      </w:r>
      <w:r>
        <w:rPr>
          <w:rFonts w:hint="eastAsia" w:ascii="宋体" w:hAnsi="宋体" w:eastAsia="宋体" w:cs="Times New Roman"/>
          <w:b w:val="0"/>
          <w:bCs w:val="0"/>
          <w:color w:val="000000"/>
          <w:sz w:val="21"/>
          <w:szCs w:val="21"/>
          <w:highlight w:val="none"/>
        </w:rPr>
      </w:r>
      <w:r/>
    </w:p>
    <w:p>
      <w:pPr>
        <w:pStyle w:val="977"/>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26.2.2出现影响采购公正的违法、违规行为的。</w:t>
      </w:r>
      <w:r>
        <w:rPr>
          <w:rFonts w:hint="eastAsia" w:ascii="宋体" w:hAnsi="宋体" w:eastAsia="宋体" w:cs="Times New Roman"/>
          <w:b w:val="0"/>
          <w:bCs w:val="0"/>
          <w:color w:val="000000"/>
          <w:sz w:val="21"/>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977"/>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宋体" w:hAnsi="宋体" w:eastAsia="宋体" w:cs="Times New Roman"/>
          <w:b w:val="0"/>
          <w:bCs w:val="0"/>
          <w:color w:val="000000"/>
          <w:sz w:val="21"/>
          <w:szCs w:val="21"/>
          <w:highlight w:val="none"/>
        </w:rPr>
      </w:r>
      <w:r/>
    </w:p>
    <w:p>
      <w:pPr>
        <w:pStyle w:val="97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27.1中标候选人的选取原则和数量见招标文件第五章规定。</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27.3代理机构将在“仪征市政府采购网”、“扬州市政府采购网”、“</w:t>
      </w:r>
      <w:r>
        <w:rPr>
          <w:rFonts w:hint="eastAsia" w:ascii="宋体" w:hAnsi="宋体"/>
          <w:bCs/>
          <w:color w:val="000000"/>
          <w:szCs w:val="21"/>
          <w:highlight w:val="none"/>
          <w:lang w:eastAsia="zh-CN"/>
        </w:rPr>
        <w:t xml:space="preserve">江苏政府采购网</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中国政府采购网</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发布中标公告，公告期限为1个工作日。</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973"/>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hint="eastAsia" w:ascii="宋体" w:hAnsi="宋体"/>
          <w:bCs/>
          <w:color w:val="000000"/>
          <w:szCs w:val="21"/>
          <w:highlight w:val="none"/>
        </w:rPr>
      </w:r>
      <w:r/>
    </w:p>
    <w:p>
      <w:pPr>
        <w:pStyle w:val="973"/>
        <w:ind w:firstLine="422"/>
        <w:spacing w:line="360" w:lineRule="auto"/>
        <w:rPr>
          <w:rFonts w:hint="eastAsia" w:ascii="宋体" w:hAnsi="宋体" w:eastAsia="宋体" w:cs="Times New Roman"/>
          <w:b/>
          <w:bCs w:val="0"/>
          <w:color w:val="ff0000"/>
          <w:szCs w:val="21"/>
          <w:highlight w:val="none"/>
        </w:rPr>
      </w:pPr>
      <w:r>
        <w:rPr>
          <w:rFonts w:hint="eastAsia" w:ascii="宋体" w:hAnsi="宋体" w:eastAsia="宋体" w:cs="Times New Roman"/>
          <w:b/>
          <w:bCs w:val="0"/>
          <w:color w:val="ff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eastAsia="宋体" w:cs="Times New Roman"/>
          <w:b/>
          <w:bCs w:val="0"/>
          <w:color w:val="ff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97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bCs/>
          <w:color w:val="000000"/>
          <w:szCs w:val="21"/>
          <w:highlight w:val="none"/>
          <w:lang w:val="en-US" w:eastAsia="zh-CN"/>
        </w:rPr>
        <w:t xml:space="preserve">代理</w:t>
      </w:r>
      <w:r>
        <w:rPr>
          <w:rFonts w:hint="eastAsia" w:ascii="宋体" w:hAnsi="宋体"/>
          <w:bCs/>
          <w:color w:val="000000"/>
          <w:szCs w:val="21"/>
          <w:highlight w:val="none"/>
          <w:lang w:val="en-US" w:eastAsia="zh-CN"/>
        </w:rPr>
        <w:t xml:space="preserve">机构</w:t>
      </w:r>
      <w:r>
        <w:rPr>
          <w:rFonts w:hint="eastAsia" w:ascii="宋体" w:hAnsi="宋体"/>
          <w:bCs/>
          <w:color w:val="000000"/>
          <w:szCs w:val="21"/>
          <w:highlight w:val="none"/>
        </w:rPr>
        <w:t xml:space="preserve">或采购人提出质疑。上述应知其权益受到损害之日，是指：</w:t>
      </w:r>
      <w:r>
        <w:rPr>
          <w:rFonts w:ascii="宋体" w:hAnsi="宋体"/>
          <w:bCs/>
          <w:color w:val="000000"/>
          <w:szCs w:val="21"/>
          <w:highlight w:val="none"/>
        </w:rPr>
      </w:r>
      <w:r/>
    </w:p>
    <w:p>
      <w:pPr>
        <w:pStyle w:val="973"/>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28.2.1对采购文件提出质疑的，为收到采购文件之日或者采购文件公告期限届满之日；</w:t>
      </w:r>
      <w:r>
        <w:rPr>
          <w:rFonts w:hint="eastAsia" w:ascii="宋体" w:hAnsi="宋体" w:eastAsia="宋体"/>
          <w:bCs/>
          <w:color w:val="000000"/>
          <w:szCs w:val="21"/>
          <w:highlight w:val="none"/>
          <w:lang w:eastAsia="zh-CN"/>
        </w:rPr>
      </w:r>
      <w:r/>
    </w:p>
    <w:p>
      <w:pPr>
        <w:pStyle w:val="973"/>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28.2.2对采购过程提出质疑的，为各采购程序环节结束之日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73"/>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28.2.3对中标或者成交结果提出质疑的，为中标或者成交结果公告期限届满之日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 代理机构及采购人只接收以纸质原件形式送达的质疑。</w:t>
      </w:r>
      <w:r>
        <w:rPr>
          <w:rFonts w:hint="eastAsia" w:ascii="宋体" w:hAnsi="宋体"/>
          <w:b/>
          <w:color w:val="000000"/>
          <w:szCs w:val="21"/>
          <w:highlight w:val="none"/>
          <w:u w:val="single"/>
        </w:rPr>
        <w:t xml:space="preserve">同时需与采购代理机构经办人确认是否收到《质疑函》，如供应商未按上述要求去做，将自行承担所产生的风险。</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lang w:val="en-US" w:eastAsia="zh-CN"/>
        </w:rPr>
        <w:t xml:space="preserve">28.5</w:t>
      </w: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rPr>
        <w:t xml:space="preserve">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97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977"/>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30、签订合同</w:t>
      </w:r>
      <w:r>
        <w:rPr>
          <w:rFonts w:hint="eastAsia" w:ascii="宋体" w:hAnsi="宋体" w:eastAsia="宋体"/>
          <w:color w:val="000000"/>
          <w:sz w:val="21"/>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30.l中标人应在中标通知书发出之日起十五日内，按照招标文件确定的事项与采购人签订政府采购合同。</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97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签订合同后，</w:t>
      </w:r>
      <w:r>
        <w:rPr>
          <w:rFonts w:hint="eastAsia" w:ascii="宋体" w:hAnsi="宋体"/>
          <w:bCs/>
          <w:i/>
          <w:iCs/>
          <w:color w:val="000000"/>
          <w:szCs w:val="21"/>
          <w:highlight w:val="none"/>
          <w:u w:val="single"/>
        </w:rPr>
        <w:t xml:space="preserve">中标人不得将合同标的进行转包</w:t>
      </w:r>
      <w:r>
        <w:rPr>
          <w:rFonts w:hint="eastAsia" w:ascii="宋体" w:hAnsi="宋体"/>
          <w:bCs/>
          <w:color w:val="000000"/>
          <w:szCs w:val="21"/>
          <w:highlight w:val="none"/>
        </w:rPr>
        <w:t xml:space="preserve">。未经采购人同意，中标人也不得采用分包的形式履行合同，否则采购人有权终止合同。转包或分包造成采购人损失的，中标人应承担相应赔偿责任。</w:t>
      </w:r>
      <w:r>
        <w:rPr>
          <w:rFonts w:ascii="宋体" w:hAnsi="宋体"/>
          <w:bCs/>
          <w:color w:val="000000"/>
          <w:szCs w:val="21"/>
          <w:highlight w:val="none"/>
        </w:rPr>
      </w:r>
      <w:r/>
    </w:p>
    <w:p>
      <w:pPr>
        <w:pStyle w:val="977"/>
        <w:ind w:firstLine="422"/>
        <w:spacing w:before="0" w:after="0"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31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其他</w:t>
      </w:r>
      <w:r>
        <w:rPr>
          <w:rFonts w:hint="eastAsia" w:ascii="宋体" w:hAnsi="宋体" w:eastAsia="宋体" w:cs="Times New Roman"/>
          <w:color w:val="000000"/>
          <w:sz w:val="21"/>
          <w:szCs w:val="21"/>
          <w:highlight w:val="none"/>
          <w:lang w:eastAsia="zh-CN"/>
        </w:rPr>
      </w:r>
      <w:r/>
    </w:p>
    <w:p>
      <w:pPr>
        <w:pStyle w:val="973"/>
        <w:ind w:firstLine="420"/>
        <w:jc w:val="both"/>
        <w:keepLines w:val="0"/>
        <w:keepNext w:val="0"/>
        <w:pageBreakBefore w:val="0"/>
        <w:spacing w:line="360" w:lineRule="auto"/>
        <w:widowControl w:val="off"/>
        <w:rPr>
          <w:rFonts w:hint="eastAsia"/>
          <w:color w:val="000000"/>
          <w:highlight w:val="none"/>
        </w:rPr>
      </w:pPr>
      <w:r>
        <w:rPr>
          <w:rFonts w:hint="eastAsia" w:ascii="宋体" w:hAnsi="宋体" w:eastAsia="宋体" w:cs="Times New Roman"/>
          <w:bCs/>
          <w:color w:val="000000"/>
          <w:szCs w:val="21"/>
          <w:highlight w:val="none"/>
        </w:rPr>
        <w:t xml:space="preserve">31.1</w:t>
      </w:r>
      <w:r>
        <w:rPr>
          <w:color w:val="000000"/>
          <w:highlight w:val="none"/>
        </w:rPr>
        <w:t xml:space="preserve">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rPr>
          <w:rFonts w:hint="eastAsia"/>
          <w:color w:val="000000"/>
          <w:highlight w:val="none"/>
        </w:rPr>
      </w:r>
      <w:r/>
    </w:p>
    <w:p>
      <w:pPr>
        <w:pStyle w:val="973"/>
        <w:ind w:firstLine="420"/>
        <w:jc w:val="center"/>
        <w:keepLines w:val="0"/>
        <w:keepNext w:val="0"/>
        <w:pageBreakBefore w:val="0"/>
        <w:spacing w:line="360" w:lineRule="auto"/>
        <w:widowControl w:val="off"/>
        <w:rPr>
          <w:rFonts w:hint="eastAsia"/>
          <w:b/>
          <w:bCs/>
          <w:color w:val="000000"/>
          <w:sz w:val="44"/>
          <w:szCs w:val="44"/>
          <w:highlight w:val="none"/>
        </w:rPr>
      </w:pPr>
      <w:r/>
      <w:bookmarkEnd w:id="39"/>
      <w:r/>
      <w:bookmarkEnd w:id="40"/>
      <w:r/>
      <w:bookmarkEnd w:id="41"/>
      <w:r/>
      <w:bookmarkEnd w:id="42"/>
      <w:r>
        <w:rPr>
          <w:color w:val="000000"/>
          <w:highlight w:val="none"/>
        </w:rPr>
        <w:br w:type="page" w:clear="all"/>
      </w:r>
      <w:bookmarkStart w:id="53" w:name="_Toc9566"/>
      <w:r>
        <w:rPr>
          <w:rStyle w:val="980"/>
          <w:rFonts w:hint="eastAsia" w:ascii="Times New Roman" w:hAnsi="Times New Roman" w:eastAsia="宋体" w:cs="Times New Roman"/>
          <w:color w:val="000000"/>
          <w:sz w:val="36"/>
          <w:szCs w:val="36"/>
          <w:highlight w:val="none"/>
          <w:lang w:val="en-US" w:eastAsia="zh-CN"/>
        </w:rPr>
        <w:t xml:space="preserve">第三章 合同文本</w:t>
      </w:r>
      <w:bookmarkEnd w:id="53"/>
      <w:r>
        <w:rPr>
          <w:rFonts w:hint="eastAsia"/>
          <w:b/>
          <w:bCs/>
          <w:color w:val="000000"/>
          <w:sz w:val="44"/>
          <w:szCs w:val="44"/>
          <w:highlight w:val="none"/>
        </w:rPr>
      </w:r>
      <w:r/>
    </w:p>
    <w:p>
      <w:pPr>
        <w:pStyle w:val="988"/>
        <w:ind w:firstLine="420"/>
        <w:keepLines w:val="0"/>
        <w:keepNext w:val="0"/>
        <w:pageBreakBefore w:val="0"/>
        <w:spacing w:before="240" w:after="240" w:line="360" w:lineRule="auto"/>
        <w:widowControl w:val="off"/>
        <w:rPr>
          <w:rFonts w:hAnsi="宋体"/>
          <w:highlight w:val="none"/>
        </w:rPr>
      </w:pPr>
      <w:r>
        <w:rPr>
          <w:rFonts w:hint="eastAsia" w:hAnsi="宋体"/>
          <w:highlight w:val="none"/>
        </w:rPr>
        <w:t xml:space="preserve">以下为中标后签定本项目合同的通用条款，中标人不得提出实质性的修改，关于专用条款将由采购人与中标人结合本项目具体情况协商后签订。</w:t>
      </w:r>
      <w:r>
        <w:rPr>
          <w:rFonts w:hAnsi="宋体"/>
          <w:highlight w:val="none"/>
        </w:rPr>
      </w:r>
      <w:r/>
    </w:p>
    <w:p>
      <w:pPr>
        <w:pStyle w:val="988"/>
        <w:ind w:firstLine="422"/>
        <w:jc w:val="center"/>
        <w:spacing w:before="120" w:after="120" w:line="360" w:lineRule="auto"/>
        <w:rPr>
          <w:rFonts w:hint="eastAsia" w:hAnsi="宋体"/>
          <w:b/>
          <w:bCs/>
          <w:color w:val="000000"/>
          <w:highlight w:val="none"/>
        </w:rPr>
      </w:pPr>
      <w:r>
        <w:rPr>
          <w:rFonts w:hint="eastAsia" w:hAnsi="宋体"/>
          <w:b/>
          <w:bCs/>
          <w:color w:val="000000"/>
          <w:highlight w:val="none"/>
        </w:rPr>
        <w:t xml:space="preserve">政府采购合同（服务）（合同编号）</w:t>
      </w:r>
      <w:r>
        <w:rPr>
          <w:rFonts w:hint="eastAsia" w:hAnsi="宋体"/>
          <w:b/>
          <w:bCs/>
          <w:color w:val="000000"/>
          <w:highlight w:val="none"/>
        </w:rPr>
      </w:r>
      <w:r/>
    </w:p>
    <w:p>
      <w:pPr>
        <w:pStyle w:val="988"/>
        <w:ind w:firstLine="420"/>
        <w:jc w:val="left"/>
        <w:spacing w:before="120" w:after="120" w:line="360" w:lineRule="auto"/>
        <w:rPr>
          <w:rFonts w:hint="eastAsia" w:ascii="宋体" w:hAnsi="宋体" w:eastAsia="宋体" w:cs="Times New Roman"/>
          <w:color w:val="000000"/>
          <w:highlight w:val="none"/>
          <w:u w:val="single"/>
          <w:lang w:eastAsia="zh-CN"/>
        </w:rPr>
      </w:pPr>
      <w:r>
        <w:rPr>
          <w:rFonts w:hint="eastAsia" w:hAnsi="宋体"/>
          <w:color w:val="000000"/>
          <w:highlight w:val="none"/>
        </w:rPr>
        <w:t xml:space="preserve">项目名称：</w:t>
      </w:r>
      <w:r>
        <w:rPr>
          <w:rFonts w:hint="eastAsia" w:ascii="宋体" w:hAnsi="宋体" w:eastAsia="宋体" w:cs="Times New Roman"/>
          <w:color w:val="000000"/>
          <w:highlight w:val="none"/>
          <w:u w:val="single"/>
          <w:lang w:eastAsia="zh-CN"/>
        </w:rPr>
        <w:t xml:space="preserve">仪征市排水智能化系统运维项目</w:t>
      </w:r>
      <w:r>
        <w:rPr>
          <w:rFonts w:hint="eastAsia" w:ascii="宋体" w:hAnsi="宋体" w:eastAsia="宋体" w:cs="Times New Roman"/>
          <w:color w:val="000000"/>
          <w:highlight w:val="none"/>
          <w:u w:val="single"/>
          <w:lang w:eastAsia="zh-CN"/>
        </w:rPr>
      </w:r>
      <w:r/>
    </w:p>
    <w:p>
      <w:pPr>
        <w:pStyle w:val="988"/>
        <w:ind w:firstLine="420"/>
        <w:jc w:val="left"/>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项目编号：</w:t>
      </w:r>
      <w:r>
        <w:rPr>
          <w:rFonts w:hint="eastAsia" w:hAnsi="宋体"/>
          <w:color w:val="000000"/>
          <w:highlight w:val="none"/>
          <w:u w:val="single"/>
          <w:lang w:eastAsia="zh-CN"/>
        </w:rPr>
        <w:t xml:space="preserve">JSZC-321081-BYGC-G2026-0008</w:t>
      </w:r>
      <w:r>
        <w:rPr>
          <w:rFonts w:hAnsi="宋体" w:eastAsia="宋体"/>
          <w:color w:val="000000"/>
          <w:highlight w:val="none"/>
          <w:u w:val="single"/>
          <w:lang w:val="en-US" w:eastAsia="zh-CN"/>
        </w:rPr>
      </w:r>
      <w:r/>
    </w:p>
    <w:p>
      <w:pPr>
        <w:pStyle w:val="988"/>
        <w:ind w:firstLine="420"/>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甲方：（买方）</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988"/>
        <w:ind w:firstLine="420"/>
        <w:spacing w:before="120" w:after="120" w:line="360" w:lineRule="auto"/>
        <w:rPr>
          <w:rFonts w:hAnsi="宋体"/>
          <w:color w:val="000000"/>
          <w:highlight w:val="none"/>
        </w:rPr>
      </w:pPr>
      <w:r>
        <w:rPr>
          <w:rFonts w:hint="eastAsia" w:hAnsi="宋体"/>
          <w:color w:val="000000"/>
          <w:highlight w:val="none"/>
        </w:rPr>
        <w:t xml:space="preserve">乙方：（卖方）</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甲、乙双方根据</w:t>
      </w:r>
      <w:r>
        <w:rPr>
          <w:rFonts w:hint="eastAsia" w:hAnsi="宋体"/>
          <w:color w:val="000000"/>
          <w:highlight w:val="none"/>
          <w:lang w:eastAsia="zh-CN"/>
        </w:rPr>
        <w:t xml:space="preserve">扬州博远工程咨询有限公司</w:t>
      </w:r>
      <w:r>
        <w:rPr>
          <w:rFonts w:hint="eastAsia" w:hAnsi="宋体"/>
          <w:color w:val="000000"/>
          <w:highlight w:val="none"/>
          <w:u w:val="single"/>
        </w:rPr>
        <w:t xml:space="preserve"> </w:t>
      </w:r>
      <w:r>
        <w:rPr>
          <w:rFonts w:hint="eastAsia" w:hAnsi="宋体"/>
          <w:color w:val="000000"/>
          <w:highlight w:val="none"/>
          <w:u w:val="single"/>
          <w:lang w:val="en-US" w:eastAsia="zh-CN"/>
        </w:rPr>
        <w:t xml:space="preserve">                 </w:t>
      </w:r>
      <w:r>
        <w:rPr>
          <w:rFonts w:hint="eastAsia" w:hAnsi="宋体"/>
          <w:color w:val="000000"/>
          <w:highlight w:val="none"/>
          <w:u w:val="none"/>
          <w:lang w:val="en-US" w:eastAsia="zh-CN"/>
        </w:rPr>
        <w:t xml:space="preserve">项目</w:t>
      </w:r>
      <w:r>
        <w:rPr>
          <w:rFonts w:hint="eastAsia" w:hAnsi="宋体"/>
          <w:sz w:val="21"/>
          <w:highlight w:val="none"/>
        </w:rPr>
        <w:t xml:space="preserve">公开招标</w:t>
      </w:r>
      <w:r>
        <w:rPr>
          <w:rFonts w:hint="eastAsia" w:hAnsi="宋体"/>
          <w:color w:val="000000"/>
          <w:highlight w:val="none"/>
        </w:rPr>
        <w:t xml:space="preserve">的结果，签署本合同。</w:t>
      </w:r>
      <w:r>
        <w:rPr>
          <w:rFonts w:hint="eastAsia" w:hAnsi="宋体"/>
          <w:color w:val="000000"/>
          <w:highlight w:val="none"/>
        </w:rPr>
      </w:r>
      <w:r/>
    </w:p>
    <w:p>
      <w:pPr>
        <w:pStyle w:val="988"/>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一、</w:t>
      </w:r>
      <w:r>
        <w:rPr>
          <w:rFonts w:hint="eastAsia" w:hAnsi="宋体"/>
          <w:b/>
          <w:bCs/>
          <w:color w:val="000000"/>
          <w:highlight w:val="none"/>
          <w:lang w:val="en-US" w:eastAsia="zh-CN"/>
        </w:rPr>
        <w:t xml:space="preserve">合同</w:t>
      </w:r>
      <w:r>
        <w:rPr>
          <w:rFonts w:hint="eastAsia" w:hAnsi="宋体"/>
          <w:b/>
          <w:bCs/>
          <w:color w:val="000000"/>
          <w:highlight w:val="none"/>
        </w:rPr>
        <w:t xml:space="preserve">内容</w:t>
      </w:r>
      <w:r>
        <w:rPr>
          <w:rFonts w:hint="eastAsia" w:hAnsi="宋体"/>
          <w:b/>
          <w:bCs/>
          <w:color w:val="000000"/>
          <w:highlight w:val="none"/>
        </w:rPr>
      </w:r>
      <w:r/>
    </w:p>
    <w:p>
      <w:pPr>
        <w:pStyle w:val="988"/>
        <w:ind w:firstLine="420"/>
        <w:spacing w:before="120" w:after="120" w:line="360" w:lineRule="auto"/>
        <w:rPr>
          <w:rFonts w:hAnsi="宋体" w:eastAsia="宋体"/>
          <w:b w:val="0"/>
          <w:bCs w:val="0"/>
          <w:color w:val="000000"/>
          <w:highlight w:val="none"/>
          <w:u w:val="single"/>
          <w:lang w:val="en-US" w:eastAsia="zh-CN"/>
        </w:rPr>
      </w:pPr>
      <w:r>
        <w:rPr>
          <w:rFonts w:hint="eastAsia" w:hAnsi="宋体"/>
          <w:b w:val="0"/>
          <w:bCs w:val="0"/>
          <w:color w:val="000000"/>
          <w:highlight w:val="none"/>
        </w:rPr>
        <w:t xml:space="preserve">1.1 标的名称：</w:t>
      </w:r>
      <w:r>
        <w:rPr>
          <w:rFonts w:hint="eastAsia" w:hAnsi="宋体"/>
          <w:b w:val="0"/>
          <w:bCs w:val="0"/>
          <w:color w:val="000000"/>
          <w:highlight w:val="none"/>
          <w:u w:val="single"/>
          <w:lang w:val="en-US" w:eastAsia="zh-CN"/>
        </w:rPr>
        <w:t xml:space="preserve">                   </w:t>
      </w:r>
      <w:r>
        <w:rPr>
          <w:rFonts w:hAnsi="宋体" w:eastAsia="宋体"/>
          <w:b w:val="0"/>
          <w:bCs w:val="0"/>
          <w:color w:val="000000"/>
          <w:highlight w:val="none"/>
          <w:u w:val="single"/>
          <w:lang w:val="en-US" w:eastAsia="zh-CN"/>
        </w:rPr>
      </w:r>
      <w:r/>
    </w:p>
    <w:p>
      <w:pPr>
        <w:pStyle w:val="988"/>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1.2标的质量：</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88"/>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1.3 标的数量（规模）：</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88"/>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1.4 履行时间（期限）：</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88"/>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1.5 履行地点：</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88"/>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1.6履行方式：</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88"/>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二、合同金额</w:t>
      </w:r>
      <w:r>
        <w:rPr>
          <w:rFonts w:hint="eastAsia" w:hAnsi="宋体"/>
          <w:b/>
          <w:bCs/>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2.1 本合同金额为（大写）：</w:t>
      </w:r>
      <w:r>
        <w:rPr>
          <w:rFonts w:hint="eastAsia" w:hAnsi="宋体"/>
          <w:color w:val="000000"/>
          <w:highlight w:val="none"/>
          <w:u w:val="single"/>
        </w:rPr>
        <w:t xml:space="preserve">                   </w:t>
      </w:r>
      <w:r>
        <w:rPr>
          <w:rFonts w:hint="eastAsia" w:hAnsi="宋体"/>
          <w:color w:val="000000"/>
          <w:highlight w:val="none"/>
        </w:rPr>
        <w:t xml:space="preserve">圆（</w:t>
      </w:r>
      <w:r>
        <w:rPr>
          <w:rFonts w:hint="eastAsia" w:hAnsi="宋体"/>
          <w:color w:val="000000"/>
          <w:highlight w:val="none"/>
          <w:u w:val="single"/>
        </w:rPr>
        <w:t xml:space="preserve">                 </w:t>
      </w:r>
      <w:r>
        <w:rPr>
          <w:rFonts w:hint="eastAsia" w:hAnsi="宋体"/>
          <w:color w:val="000000"/>
          <w:highlight w:val="none"/>
        </w:rPr>
        <w:t xml:space="preserve">元）人民币。</w:t>
      </w:r>
      <w:r>
        <w:rPr>
          <w:rFonts w:hint="eastAsia" w:hAnsi="宋体"/>
          <w:color w:val="000000"/>
          <w:highlight w:val="none"/>
        </w:rPr>
      </w:r>
      <w:r/>
    </w:p>
    <w:p>
      <w:pPr>
        <w:pStyle w:val="988"/>
        <w:ind w:firstLine="422"/>
        <w:spacing w:before="120" w:after="120" w:line="360" w:lineRule="auto"/>
        <w:rPr>
          <w:rFonts w:hint="eastAsia" w:hAnsi="宋体" w:eastAsia="宋体"/>
          <w:b/>
          <w:bCs/>
          <w:color w:val="000000"/>
          <w:highlight w:val="none"/>
          <w:lang w:val="en-US" w:eastAsia="zh-CN"/>
        </w:rPr>
      </w:pPr>
      <w:r>
        <w:rPr>
          <w:rFonts w:hint="eastAsia" w:hAnsi="宋体"/>
          <w:b/>
          <w:bCs/>
          <w:color w:val="000000"/>
          <w:highlight w:val="none"/>
        </w:rPr>
        <w:t xml:space="preserve">三、技术资料</w:t>
      </w:r>
      <w:r>
        <w:rPr>
          <w:rFonts w:hint="eastAsia" w:hAnsi="宋体" w:eastAsia="宋体"/>
          <w:b/>
          <w:bCs/>
          <w:color w:val="000000"/>
          <w:highlight w:val="none"/>
          <w:lang w:val="en-US" w:eastAsia="zh-CN"/>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3.1乙方应按招标文件规定的时间向甲方提供使用服务或产品的有关技术资料。</w:t>
      </w:r>
      <w:r>
        <w:rPr>
          <w:rFonts w:hint="eastAsia" w:hAnsi="宋体"/>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highlight w:val="none"/>
        </w:rPr>
      </w:r>
      <w:r/>
    </w:p>
    <w:p>
      <w:pPr>
        <w:pStyle w:val="988"/>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四、知识产权</w:t>
      </w:r>
      <w:r>
        <w:rPr>
          <w:rFonts w:hint="eastAsia" w:hAnsi="宋体"/>
          <w:b/>
          <w:bCs/>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highlight w:val="none"/>
        </w:rPr>
      </w:r>
      <w:r/>
    </w:p>
    <w:p>
      <w:pPr>
        <w:pStyle w:val="988"/>
        <w:ind w:firstLine="420"/>
        <w:keepLines w:val="0"/>
        <w:keepNext w:val="0"/>
        <w:pageBreakBefore w:val="0"/>
        <w:spacing w:before="120" w:after="120" w:line="360" w:lineRule="auto"/>
        <w:widowControl w:val="off"/>
        <w:rPr>
          <w:rFonts w:hint="eastAsia" w:hAnsi="宋体"/>
          <w:color w:val="000000"/>
          <w:highlight w:val="none"/>
          <w:lang w:val="en-US" w:eastAsia="zh-CN"/>
        </w:rPr>
      </w:pPr>
      <w:r>
        <w:rPr>
          <w:rFonts w:hint="eastAsia" w:hAnsi="宋体"/>
          <w:color w:val="000000"/>
          <w:highlight w:val="none"/>
          <w:lang w:val="en-US" w:eastAsia="zh-CN"/>
        </w:rPr>
        <w:t xml:space="preserve">4.2所有提交给甲方的技术服务成果及相关资料的最后文本，包括为履行本合同所编制的图纸、计划和证明资料等，都是属于甲方的财产。</w:t>
      </w:r>
      <w:r>
        <w:rPr>
          <w:rFonts w:hint="eastAsia" w:hAnsi="宋体"/>
          <w:color w:val="000000"/>
          <w:highlight w:val="none"/>
          <w:lang w:val="en-US" w:eastAsia="zh-CN"/>
        </w:rPr>
      </w:r>
      <w:r/>
    </w:p>
    <w:p>
      <w:pPr>
        <w:pStyle w:val="988"/>
        <w:ind w:firstLine="420"/>
        <w:keepLines w:val="0"/>
        <w:keepNext w:val="0"/>
        <w:pageBreakBefore w:val="0"/>
        <w:spacing w:before="120" w:after="120" w:line="360" w:lineRule="auto"/>
        <w:widowControl w:val="off"/>
        <w:rPr>
          <w:rFonts w:hAnsi="宋体" w:eastAsia="宋体"/>
          <w:color w:val="000000"/>
          <w:highlight w:val="none"/>
          <w:lang w:val="en-US" w:eastAsia="zh-CN"/>
        </w:rPr>
      </w:pPr>
      <w:r>
        <w:rPr>
          <w:rFonts w:hint="eastAsia" w:hAnsi="宋体"/>
          <w:color w:val="000000"/>
          <w:highlight w:val="none"/>
          <w:lang w:val="en-US" w:eastAsia="zh-CN"/>
        </w:rPr>
        <w:t xml:space="preserve">4.3经甲方同意，乙方可保存上述资料的复印件，包括委托方提供的资料，但未经甲方的书面同意，乙方不得将上述资料用于与本服务项目之外的任何项目。</w:t>
      </w:r>
      <w:r>
        <w:rPr>
          <w:rFonts w:hAnsi="宋体" w:eastAsia="宋体"/>
          <w:color w:val="000000"/>
          <w:highlight w:val="none"/>
          <w:lang w:val="en-US" w:eastAsia="zh-CN"/>
        </w:rPr>
      </w:r>
      <w:r/>
    </w:p>
    <w:p>
      <w:pPr>
        <w:pStyle w:val="988"/>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五、产权担保</w:t>
      </w:r>
      <w:r>
        <w:rPr>
          <w:rFonts w:hint="eastAsia" w:hAnsi="宋体"/>
          <w:b/>
          <w:bCs/>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5.1 乙方保证所交付的服务</w:t>
      </w:r>
      <w:r>
        <w:rPr>
          <w:rFonts w:hint="eastAsia" w:hAnsi="宋体"/>
          <w:color w:val="000000"/>
          <w:highlight w:val="none"/>
        </w:rPr>
        <w:t xml:space="preserve">（包含与服务相关的货物）</w:t>
      </w:r>
      <w:r>
        <w:rPr>
          <w:rFonts w:hint="eastAsia" w:hAnsi="宋体"/>
          <w:color w:val="000000"/>
          <w:highlight w:val="none"/>
        </w:rPr>
        <w:t xml:space="preserve">的所有权完全属于乙方且无任何抵押、查封等产权瑕疵。</w:t>
      </w:r>
      <w:r>
        <w:rPr>
          <w:rFonts w:hint="eastAsia" w:hAnsi="宋体"/>
          <w:color w:val="000000"/>
          <w:highlight w:val="none"/>
        </w:rPr>
      </w:r>
      <w:r/>
    </w:p>
    <w:p>
      <w:pPr>
        <w:pStyle w:val="988"/>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六、履约保证金</w:t>
      </w:r>
      <w:r>
        <w:rPr>
          <w:rFonts w:hint="eastAsia" w:hAnsi="宋体"/>
          <w:b/>
          <w:bCs/>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6.</w:t>
      </w:r>
      <w:r>
        <w:rPr>
          <w:rFonts w:hint="eastAsia" w:hAnsi="宋体"/>
          <w:color w:val="000000"/>
          <w:highlight w:val="none"/>
          <w:lang w:val="en-US" w:eastAsia="zh-CN"/>
        </w:rPr>
        <w:t xml:space="preserve">1</w:t>
      </w:r>
      <w:r>
        <w:rPr>
          <w:rFonts w:hint="eastAsia" w:hAnsi="宋体"/>
          <w:color w:val="000000"/>
          <w:highlight w:val="none"/>
        </w:rPr>
        <w:t xml:space="preserve">履约保证金收取：</w:t>
      </w:r>
      <w:r>
        <w:rPr>
          <w:rFonts w:hint="eastAsia" w:hAnsi="宋体"/>
          <w:color w:val="000000"/>
          <w:highlight w:val="none"/>
          <w:u w:val="single"/>
        </w:rPr>
        <w:t xml:space="preserve">无</w:t>
      </w:r>
      <w:r>
        <w:rPr>
          <w:rFonts w:hint="eastAsia" w:hAnsi="宋体"/>
          <w:color w:val="000000"/>
          <w:highlight w:val="none"/>
        </w:rPr>
      </w:r>
      <w:r/>
    </w:p>
    <w:p>
      <w:pPr>
        <w:pStyle w:val="988"/>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七、转包或分包</w:t>
      </w:r>
      <w:r>
        <w:rPr>
          <w:rFonts w:hint="eastAsia" w:hAnsi="宋体"/>
          <w:b/>
          <w:bCs/>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7.1本合同范围的服务或产品，应由乙方直接供应，不得转让他人供应；</w:t>
      </w:r>
      <w:r>
        <w:rPr>
          <w:rFonts w:hint="eastAsia" w:hAnsi="宋体"/>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7.2 除非得到甲方的书面同意，乙方不得部分分包给他人供应。</w:t>
      </w:r>
      <w:r>
        <w:rPr>
          <w:rFonts w:hint="eastAsia" w:hAnsi="宋体"/>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7.3如有转让和未经甲方同意的分包行为，甲方有权给予终止合同。</w:t>
      </w:r>
      <w:r>
        <w:rPr>
          <w:rFonts w:hint="eastAsia" w:hAnsi="宋体"/>
          <w:color w:val="000000"/>
          <w:highlight w:val="none"/>
        </w:rPr>
      </w:r>
      <w:r/>
    </w:p>
    <w:p>
      <w:pPr>
        <w:pStyle w:val="988"/>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八、合同款项支付</w:t>
      </w:r>
      <w:r>
        <w:rPr>
          <w:rFonts w:hint="eastAsia" w:hAnsi="宋体"/>
          <w:b/>
          <w:bCs/>
          <w:color w:val="000000"/>
          <w:highlight w:val="none"/>
        </w:rPr>
      </w:r>
      <w:r/>
    </w:p>
    <w:p>
      <w:pPr>
        <w:pStyle w:val="973"/>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本合同项下所有款项均以人民币支付。 </w:t>
      </w:r>
      <w:r>
        <w:rPr>
          <w:rFonts w:hint="eastAsia" w:ascii="宋体" w:hAnsi="宋体"/>
          <w:color w:val="000000"/>
          <w:szCs w:val="21"/>
          <w:highlight w:val="none"/>
        </w:rPr>
      </w:r>
      <w:r/>
    </w:p>
    <w:p>
      <w:pPr>
        <w:pStyle w:val="973"/>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本合同项下的采购资金由甲方支付，付款前乙方向甲方开具发票。</w:t>
      </w:r>
      <w:r>
        <w:rPr>
          <w:rFonts w:hint="eastAsia" w:ascii="宋体" w:hAnsi="宋体"/>
          <w:color w:val="000000"/>
          <w:szCs w:val="21"/>
          <w:highlight w:val="none"/>
        </w:rPr>
      </w:r>
      <w:r/>
    </w:p>
    <w:p>
      <w:pPr>
        <w:pStyle w:val="973"/>
        <w:numPr>
          <w:ilvl w:val="0"/>
          <w:numId w:val="0"/>
        </w:numPr>
        <w:ind w:firstLine="480"/>
        <w:keepLines w:val="0"/>
        <w:keepNext w:val="0"/>
        <w:pageBreakBefore w:val="0"/>
        <w:spacing w:line="440" w:lineRule="exact"/>
        <w:widowControl w:val="off"/>
        <w:rPr>
          <w:highlight w:val="none"/>
          <w:lang w:val="en-US" w:eastAsia="zh-CN"/>
        </w:rPr>
        <w:outlineLvl w:val="9"/>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rPr>
        <w:t xml:space="preserve">.3 </w:t>
      </w:r>
      <w:r>
        <w:rPr>
          <w:rFonts w:hint="eastAsia"/>
          <w:color w:val="000000"/>
          <w:highlight w:val="none"/>
        </w:rPr>
        <w:t xml:space="preserve">甲方付款方式：</w:t>
      </w:r>
      <w:r>
        <w:rPr>
          <w:rFonts w:hint="eastAsia" w:ascii="宋体" w:hAnsi="宋体" w:eastAsia="宋体" w:cs="宋体"/>
          <w:color w:val="000000"/>
          <w:highlight w:val="none"/>
          <w:u w:val="single"/>
          <w:lang w:val="en-US" w:eastAsia="zh-CN"/>
        </w:rPr>
        <w:t xml:space="preserve">合同签订后，甲方自收到乙方发票之日起十个工作日内支付合同总额的30%为预付款；硬件采购及软件开发部分根据“业务目标达成”（详见附件）情况进行支付，验收后支付硬件采购及软件开发已完成验收部分的80%作为进度款（其中第一年扣除全部预付款），余款三年服务到期后一次性支付；硬件运维及软件运维部分，分三年支付，在每年度考核后支付当年费用。</w:t>
      </w:r>
      <w:r>
        <w:rPr>
          <w:highlight w:val="none"/>
          <w:lang w:val="en-US" w:eastAsia="zh-CN"/>
        </w:rPr>
      </w:r>
      <w:r/>
    </w:p>
    <w:p>
      <w:pPr>
        <w:pStyle w:val="988"/>
        <w:ind w:firstLine="422"/>
        <w:spacing w:before="120" w:after="120" w:line="360" w:lineRule="auto"/>
        <w:rPr>
          <w:rFonts w:hint="eastAsia" w:hAnsi="宋体"/>
          <w:b/>
          <w:bCs/>
          <w:color w:val="000000"/>
          <w:highlight w:val="none"/>
        </w:rPr>
      </w:pPr>
      <w:r>
        <w:rPr>
          <w:rFonts w:hint="eastAsia" w:ascii="宋体" w:hAnsi="宋体" w:eastAsia="宋体" w:cs="Times New Roman"/>
          <w:b/>
          <w:bCs/>
          <w:color w:val="000000"/>
          <w:highlight w:val="none"/>
          <w:lang w:val="en-US" w:eastAsia="zh-CN"/>
        </w:rPr>
        <w:t xml:space="preserve">九</w:t>
      </w:r>
      <w:r>
        <w:rPr>
          <w:rFonts w:hint="eastAsia" w:ascii="宋体" w:hAnsi="宋体" w:eastAsia="宋体" w:cs="Times New Roman"/>
          <w:b/>
          <w:bCs/>
          <w:color w:val="000000"/>
          <w:highlight w:val="none"/>
        </w:rPr>
        <w:t xml:space="preserve">、</w:t>
      </w:r>
      <w:r>
        <w:rPr>
          <w:rFonts w:hint="eastAsia" w:hAnsi="宋体"/>
          <w:b/>
          <w:bCs/>
          <w:color w:val="000000"/>
          <w:highlight w:val="none"/>
        </w:rPr>
        <w:t xml:space="preserve">税费</w:t>
      </w:r>
      <w:r>
        <w:rPr>
          <w:rFonts w:hint="eastAsia" w:hAnsi="宋体"/>
          <w:b/>
          <w:bCs/>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lang w:val="en-US" w:eastAsia="zh-CN"/>
        </w:rPr>
        <w:t xml:space="preserve">9</w:t>
      </w:r>
      <w:r>
        <w:rPr>
          <w:rFonts w:hint="eastAsia" w:hAnsi="宋体"/>
          <w:color w:val="000000"/>
          <w:highlight w:val="none"/>
        </w:rPr>
        <w:t xml:space="preserve">.1本合同执行中相关的一切税费均由乙方负担。</w:t>
      </w:r>
      <w:r>
        <w:rPr>
          <w:rFonts w:hint="eastAsia" w:hAnsi="宋体"/>
          <w:color w:val="000000"/>
          <w:highlight w:val="none"/>
        </w:rPr>
      </w:r>
      <w:r/>
    </w:p>
    <w:p>
      <w:pPr>
        <w:pStyle w:val="988"/>
        <w:numPr>
          <w:ilvl w:val="0"/>
          <w:numId w:val="4"/>
        </w:numPr>
        <w:ind w:left="-2" w:firstLine="422"/>
        <w:spacing w:before="120" w:after="120" w:line="360" w:lineRule="auto"/>
        <w:rPr>
          <w:rFonts w:hint="eastAsia" w:ascii="宋体" w:hAnsi="宋体"/>
          <w:b/>
          <w:bCs/>
          <w:color w:val="000000"/>
          <w:sz w:val="21"/>
          <w:szCs w:val="22"/>
          <w:highlight w:val="none"/>
          <w:lang w:val="en-US" w:eastAsia="zh-CN" w:bidi="ar-SA"/>
        </w:rPr>
      </w:pPr>
      <w:r>
        <w:rPr>
          <w:rFonts w:hint="eastAsia" w:ascii="宋体" w:hAnsi="宋体"/>
          <w:b/>
          <w:bCs/>
          <w:color w:val="000000"/>
          <w:sz w:val="21"/>
          <w:szCs w:val="22"/>
          <w:highlight w:val="none"/>
          <w:lang w:val="en-US" w:eastAsia="zh-CN" w:bidi="ar-SA"/>
        </w:rPr>
        <w:t xml:space="preserve">考核标准</w:t>
      </w:r>
      <w:r>
        <w:rPr>
          <w:rFonts w:hint="eastAsia" w:ascii="宋体" w:hAnsi="宋体"/>
          <w:b/>
          <w:bCs/>
          <w:color w:val="000000"/>
          <w:sz w:val="21"/>
          <w:szCs w:val="22"/>
          <w:highlight w:val="none"/>
          <w:lang w:val="en-US" w:eastAsia="zh-CN" w:bidi="ar-SA"/>
        </w:rPr>
      </w:r>
      <w:r/>
    </w:p>
    <w:p>
      <w:pPr>
        <w:pStyle w:val="988"/>
        <w:numPr>
          <w:ilvl w:val="0"/>
          <w:numId w:val="0"/>
        </w:numPr>
        <w:ind w:firstLine="420"/>
        <w:spacing w:before="120" w:after="120" w:line="360" w:lineRule="auto"/>
        <w:rPr>
          <w:rFonts w:hint="eastAsia" w:ascii="宋体" w:hAnsi="宋体"/>
          <w:b/>
          <w:bCs/>
          <w:color w:val="000000"/>
          <w:sz w:val="21"/>
          <w:szCs w:val="22"/>
          <w:highlight w:val="none"/>
          <w:lang w:val="en-US" w:eastAsia="zh-CN" w:bidi="ar-SA"/>
        </w:rPr>
      </w:pPr>
      <w:r>
        <w:rPr>
          <w:rFonts w:hint="eastAsia"/>
          <w:highlight w:val="none"/>
          <w:lang w:val="en-US" w:eastAsia="zh-CN"/>
        </w:rPr>
        <w:t xml:space="preserve">依据附件</w:t>
      </w:r>
      <w:r>
        <w:rPr>
          <w:rFonts w:hint="eastAsia" w:ascii="宋体" w:hAnsi="Courier New" w:eastAsia="宋体" w:cs="Times New Roman"/>
          <w:highlight w:val="none"/>
          <w:lang w:val="en-US" w:eastAsia="zh-CN"/>
        </w:rPr>
        <w:t xml:space="preserve">《仪征市排水智能化系统运维服务考核方案》进</w:t>
      </w:r>
      <w:r>
        <w:rPr>
          <w:rFonts w:hint="eastAsia"/>
          <w:highlight w:val="none"/>
          <w:lang w:val="en-US" w:eastAsia="zh-CN"/>
        </w:rPr>
        <w:t xml:space="preserve">行服务考核，达到考核标准时，全额支付当期服务款。若未达到标准，整改后重新进行考核，直至合格。</w:t>
      </w:r>
      <w:r>
        <w:rPr>
          <w:rFonts w:hint="eastAsia" w:ascii="宋体" w:hAnsi="宋体"/>
          <w:b/>
          <w:bCs/>
          <w:color w:val="000000"/>
          <w:sz w:val="21"/>
          <w:szCs w:val="22"/>
          <w:highlight w:val="none"/>
          <w:lang w:val="en-US" w:eastAsia="zh-CN" w:bidi="ar-SA"/>
        </w:rPr>
      </w:r>
      <w:r/>
    </w:p>
    <w:p>
      <w:pPr>
        <w:pStyle w:val="988"/>
        <w:numPr>
          <w:ilvl w:val="0"/>
          <w:numId w:val="0"/>
        </w:numPr>
        <w:ind w:firstLine="422"/>
        <w:spacing w:before="120" w:after="120" w:line="360" w:lineRule="auto"/>
        <w:rPr>
          <w:rFonts w:hint="eastAsia" w:hAnsi="宋体"/>
          <w:b/>
          <w:bCs/>
          <w:color w:val="000000"/>
          <w:highlight w:val="none"/>
          <w:lang w:val="en-US" w:eastAsia="zh-CN"/>
        </w:rPr>
      </w:pPr>
      <w:r>
        <w:rPr>
          <w:rFonts w:hint="eastAsia" w:ascii="宋体" w:hAnsi="宋体"/>
          <w:b/>
          <w:bCs/>
          <w:color w:val="000000"/>
          <w:sz w:val="21"/>
          <w:szCs w:val="22"/>
          <w:highlight w:val="none"/>
          <w:lang w:val="en-US" w:eastAsia="zh-CN" w:bidi="ar-SA"/>
        </w:rPr>
        <w:t xml:space="preserve">十一、</w:t>
      </w:r>
      <w:r>
        <w:rPr>
          <w:rFonts w:hint="eastAsia" w:hAnsi="宋体"/>
          <w:b/>
          <w:bCs/>
          <w:color w:val="000000"/>
          <w:highlight w:val="none"/>
          <w:lang w:val="en-US" w:eastAsia="zh-CN"/>
        </w:rPr>
        <w:t xml:space="preserve">项目验收</w:t>
      </w:r>
      <w:r>
        <w:rPr>
          <w:rFonts w:hint="eastAsia" w:hAnsi="宋体"/>
          <w:b/>
          <w:bCs/>
          <w:color w:val="000000"/>
          <w:highlight w:val="none"/>
          <w:lang w:val="en-US" w:eastAsia="zh-CN"/>
        </w:rPr>
      </w:r>
      <w:r/>
    </w:p>
    <w:p>
      <w:pPr>
        <w:pStyle w:val="988"/>
        <w:numPr>
          <w:ilvl w:val="0"/>
          <w:numId w:val="0"/>
        </w:numPr>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.1 甲方依法组织履约验收工作。</w:t>
      </w:r>
      <w:r>
        <w:rPr>
          <w:rFonts w:hint="eastAsia" w:hAnsi="宋体"/>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.3 对于实际使用人和甲方分离的项目，甲方邀请实际使用人参与验收。</w:t>
      </w:r>
      <w:r>
        <w:rPr>
          <w:rFonts w:hint="eastAsia" w:hAnsi="宋体"/>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.4 如有必要，甲方邀请参加本项目的其他供应商或第三方专业机构及专家参与验收，相关意见将作为验收书的参考资料。</w:t>
      </w:r>
      <w:r>
        <w:rPr>
          <w:rFonts w:hint="eastAsia" w:hAnsi="宋体"/>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highlight w:val="none"/>
        </w:rPr>
      </w:r>
      <w:r/>
    </w:p>
    <w:p>
      <w:pPr>
        <w:pStyle w:val="988"/>
        <w:ind w:firstLine="422"/>
        <w:spacing w:before="120" w:after="120" w:line="360" w:lineRule="auto"/>
        <w:rPr>
          <w:rFonts w:hAnsi="宋体"/>
          <w:b/>
          <w:bCs/>
          <w:highlight w:val="none"/>
        </w:rPr>
      </w:pPr>
      <w:r>
        <w:rPr>
          <w:rFonts w:hint="eastAsia" w:hAnsi="宋体"/>
          <w:b/>
          <w:bCs/>
          <w:highlight w:val="none"/>
        </w:rPr>
        <w:t xml:space="preserve">十</w:t>
      </w:r>
      <w:r>
        <w:rPr>
          <w:rFonts w:hint="eastAsia" w:hAnsi="宋体"/>
          <w:b/>
          <w:bCs/>
          <w:highlight w:val="none"/>
          <w:lang w:val="en-US" w:eastAsia="zh-CN"/>
        </w:rPr>
        <w:t xml:space="preserve">二</w:t>
      </w:r>
      <w:r>
        <w:rPr>
          <w:rFonts w:hint="eastAsia" w:hAnsi="宋体"/>
          <w:b/>
          <w:bCs/>
          <w:highlight w:val="none"/>
        </w:rPr>
        <w:t xml:space="preserve">、违约责任</w:t>
      </w:r>
      <w:r>
        <w:rPr>
          <w:rFonts w:hAnsi="宋体"/>
          <w:b/>
          <w:bCs/>
          <w:highlight w:val="none"/>
        </w:rPr>
      </w:r>
      <w:r/>
    </w:p>
    <w:p>
      <w:pPr>
        <w:pStyle w:val="988"/>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2</w:t>
      </w:r>
      <w:r>
        <w:rPr>
          <w:rFonts w:hint="eastAsia" w:hAnsi="宋体"/>
          <w:highlight w:val="none"/>
        </w:rPr>
        <w:t xml:space="preserve">.1 甲方无正当理由拒收货物及服务的，甲方向乙方偿付拒收款项总值的百分之五违约金。</w:t>
      </w:r>
      <w:r>
        <w:rPr>
          <w:rFonts w:hAnsi="宋体"/>
          <w:highlight w:val="none"/>
        </w:rPr>
      </w:r>
      <w:r/>
    </w:p>
    <w:p>
      <w:pPr>
        <w:pStyle w:val="988"/>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2</w:t>
      </w:r>
      <w:r>
        <w:rPr>
          <w:rFonts w:hint="eastAsia" w:hAnsi="宋体"/>
          <w:highlight w:val="none"/>
        </w:rPr>
        <w:t xml:space="preserve">.2 甲方无故逾期验收和办理款项支付手续的,甲方应按逾期付款总额每日万分之五向乙方支付违约金。</w:t>
      </w:r>
      <w:r>
        <w:rPr>
          <w:rFonts w:hAnsi="宋体"/>
          <w:highlight w:val="none"/>
        </w:rPr>
      </w:r>
      <w:r/>
    </w:p>
    <w:p>
      <w:pPr>
        <w:pStyle w:val="988"/>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2</w:t>
      </w:r>
      <w:r>
        <w:rPr>
          <w:rFonts w:hint="eastAsia" w:hAnsi="宋体"/>
          <w:highlight w:val="none"/>
        </w:rPr>
        <w:t xml:space="preserve">.3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highlight w:val="none"/>
        </w:rPr>
      </w:r>
      <w:r/>
    </w:p>
    <w:p>
      <w:pPr>
        <w:pStyle w:val="988"/>
        <w:ind w:firstLine="420"/>
        <w:spacing w:before="120" w:after="120" w:line="360" w:lineRule="auto"/>
        <w:rPr>
          <w:rFonts w:hint="eastAsia" w:ascii="宋体" w:hAnsi="宋体" w:eastAsia="宋体" w:cs="Times New Roman"/>
          <w:highlight w:val="none"/>
        </w:rPr>
      </w:pPr>
      <w:r>
        <w:rPr>
          <w:rFonts w:hint="eastAsia" w:hAnsi="宋体"/>
          <w:highlight w:val="none"/>
        </w:rPr>
        <w:t xml:space="preserve">1</w:t>
      </w:r>
      <w:r>
        <w:rPr>
          <w:rFonts w:hint="eastAsia" w:hAnsi="宋体"/>
          <w:highlight w:val="none"/>
          <w:lang w:val="en-US" w:eastAsia="zh-CN"/>
        </w:rPr>
        <w:t xml:space="preserve">2</w:t>
      </w:r>
      <w:r>
        <w:rPr>
          <w:rFonts w:hint="eastAsia" w:hAnsi="宋体"/>
          <w:highlight w:val="none"/>
        </w:rPr>
        <w:t xml:space="preserve">.4 </w:t>
      </w:r>
      <w:r>
        <w:rPr>
          <w:rFonts w:hint="eastAsia" w:ascii="宋体" w:hAnsi="宋体" w:eastAsia="宋体" w:cs="Times New Roman"/>
          <w:highlight w:val="none"/>
        </w:rPr>
        <w:t xml:space="preserve">乙方所提供服务的标准不符合合同规定及招标文件规定标准的，甲方有权拒绝接受服务，并可单方面解除合同。</w:t>
      </w:r>
      <w:r>
        <w:rPr>
          <w:rFonts w:hint="eastAsia" w:ascii="宋体" w:hAnsi="宋体" w:eastAsia="宋体" w:cs="Times New Roman"/>
          <w:highlight w:val="none"/>
        </w:rPr>
      </w:r>
      <w:r/>
    </w:p>
    <w:p>
      <w:pPr>
        <w:pStyle w:val="988"/>
        <w:ind w:firstLine="422"/>
        <w:spacing w:before="120" w:after="120" w:line="360" w:lineRule="auto"/>
        <w:rPr>
          <w:rFonts w:hAnsi="宋体"/>
          <w:b/>
          <w:bCs/>
          <w:highlight w:val="none"/>
        </w:rPr>
      </w:pPr>
      <w:r>
        <w:rPr>
          <w:rFonts w:hint="eastAsia" w:hAnsi="宋体"/>
          <w:b/>
          <w:bCs/>
          <w:highlight w:val="none"/>
        </w:rPr>
        <w:t xml:space="preserve">十</w:t>
      </w:r>
      <w:r>
        <w:rPr>
          <w:rFonts w:hint="eastAsia" w:hAnsi="宋体"/>
          <w:b/>
          <w:bCs/>
          <w:highlight w:val="none"/>
          <w:lang w:val="en-US" w:eastAsia="zh-CN"/>
        </w:rPr>
        <w:t xml:space="preserve">三</w:t>
      </w:r>
      <w:r>
        <w:rPr>
          <w:rFonts w:hint="eastAsia" w:hAnsi="宋体"/>
          <w:b/>
          <w:bCs/>
          <w:highlight w:val="none"/>
        </w:rPr>
        <w:t xml:space="preserve">、不可抗力事件处理</w:t>
      </w:r>
      <w:r>
        <w:rPr>
          <w:rFonts w:hAnsi="宋体"/>
          <w:b/>
          <w:bCs/>
          <w:highlight w:val="none"/>
        </w:rPr>
      </w:r>
      <w:r/>
    </w:p>
    <w:p>
      <w:pPr>
        <w:pStyle w:val="988"/>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3</w:t>
      </w:r>
      <w:r>
        <w:rPr>
          <w:rFonts w:hint="eastAsia" w:hAnsi="宋体"/>
          <w:highlight w:val="none"/>
        </w:rPr>
        <w:t xml:space="preserve">.1 在合同有效期内，任何一方因不可抗力事件导致不能履行合同，则合同履行期可延长，其延长期与不可抗力影响期相同。</w:t>
      </w:r>
      <w:r>
        <w:rPr>
          <w:rFonts w:hAnsi="宋体"/>
          <w:highlight w:val="none"/>
        </w:rPr>
      </w:r>
      <w:r/>
    </w:p>
    <w:p>
      <w:pPr>
        <w:pStyle w:val="988"/>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3</w:t>
      </w:r>
      <w:r>
        <w:rPr>
          <w:rFonts w:hint="eastAsia" w:hAnsi="宋体"/>
          <w:highlight w:val="none"/>
        </w:rPr>
        <w:t xml:space="preserve">.2 不可抗力事件发生后，应立即通知对方，并寄送有关权威机构出具的证明。</w:t>
      </w:r>
      <w:r>
        <w:rPr>
          <w:rFonts w:hAnsi="宋体"/>
          <w:highlight w:val="none"/>
        </w:rPr>
      </w:r>
      <w:r/>
    </w:p>
    <w:p>
      <w:pPr>
        <w:pStyle w:val="988"/>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3</w:t>
      </w:r>
      <w:r>
        <w:rPr>
          <w:rFonts w:hint="eastAsia" w:hAnsi="宋体"/>
          <w:highlight w:val="none"/>
        </w:rPr>
        <w:t xml:space="preserve">.3 不可抗力事件延续120天以上，双方应通过友好协商，确定是否继续履行合同。</w:t>
      </w:r>
      <w:r>
        <w:rPr>
          <w:rFonts w:hAnsi="宋体"/>
          <w:highlight w:val="none"/>
        </w:rPr>
      </w:r>
      <w:r/>
    </w:p>
    <w:p>
      <w:pPr>
        <w:pStyle w:val="988"/>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四</w:t>
      </w:r>
      <w:r>
        <w:rPr>
          <w:rFonts w:hint="eastAsia" w:hAnsi="宋体"/>
          <w:b/>
          <w:bCs/>
          <w:color w:val="000000"/>
          <w:highlight w:val="none"/>
        </w:rPr>
        <w:t xml:space="preserve">、解决争议的方法</w:t>
      </w:r>
      <w:r>
        <w:rPr>
          <w:rFonts w:hint="eastAsia" w:hAnsi="宋体"/>
          <w:b/>
          <w:bCs/>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.1 双方在执行合同中所发生的一切争议，应通过协商解决。如协商不成，由甲方住所地人民法院管辖。</w:t>
      </w:r>
      <w:r>
        <w:rPr>
          <w:rFonts w:hint="eastAsia" w:hAnsi="宋体"/>
          <w:color w:val="000000"/>
          <w:highlight w:val="none"/>
        </w:rPr>
      </w:r>
      <w:r/>
    </w:p>
    <w:p>
      <w:pPr>
        <w:pStyle w:val="988"/>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五</w:t>
      </w:r>
      <w:r>
        <w:rPr>
          <w:rFonts w:hint="eastAsia" w:hAnsi="宋体"/>
          <w:b/>
          <w:bCs/>
          <w:color w:val="000000"/>
          <w:highlight w:val="none"/>
        </w:rPr>
        <w:t xml:space="preserve">、合同生效及其它</w:t>
      </w:r>
      <w:r>
        <w:rPr>
          <w:rFonts w:hint="eastAsia" w:hAnsi="宋体"/>
          <w:b/>
          <w:bCs/>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5</w:t>
      </w:r>
      <w:r>
        <w:rPr>
          <w:rFonts w:hint="eastAsia" w:hAnsi="宋体"/>
          <w:color w:val="000000"/>
          <w:highlight w:val="none"/>
        </w:rPr>
        <w:t xml:space="preserve">.1 </w:t>
      </w:r>
      <w:r>
        <w:rPr>
          <w:rFonts w:hint="eastAsia" w:hAnsi="宋体"/>
          <w:highlight w:val="none"/>
        </w:rPr>
        <w:t xml:space="preserve">合同经双方法定代表人</w:t>
      </w:r>
      <w:r>
        <w:rPr>
          <w:rFonts w:hint="eastAsia" w:hAnsi="宋体"/>
          <w:color w:val="000000"/>
          <w:highlight w:val="none"/>
        </w:rPr>
        <w:t xml:space="preserve">或授权代表</w:t>
      </w:r>
      <w:r>
        <w:rPr>
          <w:rFonts w:hint="eastAsia" w:hAnsi="宋体"/>
          <w:highlight w:val="none"/>
        </w:rPr>
        <w:t xml:space="preserve">签章并加盖单位公章</w:t>
      </w:r>
      <w:r>
        <w:rPr>
          <w:rFonts w:hint="eastAsia" w:hAnsi="宋体"/>
          <w:color w:val="000000"/>
          <w:highlight w:val="none"/>
        </w:rPr>
        <w:t xml:space="preserve">，并经</w:t>
      </w:r>
      <w:r>
        <w:rPr>
          <w:rFonts w:hint="eastAsia" w:hAnsi="宋体"/>
          <w:color w:val="000000"/>
          <w:highlight w:val="none"/>
          <w:lang w:eastAsia="zh-CN"/>
        </w:rPr>
        <w:t xml:space="preserve">扬州博远工程咨询有限公司</w:t>
      </w:r>
      <w:r>
        <w:rPr>
          <w:rFonts w:hint="eastAsia" w:hAnsi="宋体"/>
          <w:color w:val="000000"/>
          <w:highlight w:val="none"/>
        </w:rPr>
        <w:t xml:space="preserve">见证盖章后生效。</w:t>
      </w:r>
      <w:r>
        <w:rPr>
          <w:rFonts w:hint="eastAsia" w:hAnsi="宋体"/>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5</w:t>
      </w:r>
      <w:r>
        <w:rPr>
          <w:rFonts w:hint="eastAsia" w:hAnsi="宋体"/>
          <w:color w:val="000000"/>
          <w:highlight w:val="none"/>
        </w:rPr>
        <w:t xml:space="preserve">.2本合同未尽事宜，遵照</w:t>
      </w:r>
      <w:r>
        <w:rPr>
          <w:rFonts w:hint="eastAsia" w:hAnsi="宋体" w:cs="宋体"/>
          <w:color w:val="000000"/>
          <w:highlight w:val="none"/>
        </w:rPr>
        <w:t xml:space="preserve">《民法典》</w:t>
      </w:r>
      <w:r>
        <w:rPr>
          <w:rFonts w:hint="eastAsia" w:hAnsi="宋体"/>
          <w:color w:val="000000"/>
          <w:highlight w:val="none"/>
        </w:rPr>
        <w:t xml:space="preserve">有关条文执行。</w:t>
      </w:r>
      <w:r>
        <w:rPr>
          <w:rFonts w:hint="eastAsia" w:hAnsi="宋体"/>
          <w:color w:val="000000"/>
          <w:highlight w:val="none"/>
        </w:rPr>
      </w:r>
      <w:r/>
    </w:p>
    <w:p>
      <w:pPr>
        <w:pStyle w:val="988"/>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5</w:t>
      </w:r>
      <w:r>
        <w:rPr>
          <w:rFonts w:hint="eastAsia" w:hAnsi="宋体"/>
          <w:color w:val="000000"/>
          <w:highlight w:val="none"/>
        </w:rPr>
        <w:t xml:space="preserve">.3 本合同正本一式陆份，具有同等法律效力，甲方、乙方各执贰份，见证方及财政监管部门（</w:t>
      </w:r>
      <w:r>
        <w:rPr>
          <w:rFonts w:hint="eastAsia" w:hAnsi="宋体" w:cs="宋体"/>
          <w:color w:val="000000"/>
          <w:szCs w:val="21"/>
          <w:highlight w:val="none"/>
        </w:rPr>
        <w:t xml:space="preserve">仪征市财政局政府采购与部门资产管理科</w:t>
      </w:r>
      <w:r>
        <w:rPr>
          <w:rFonts w:hint="eastAsia" w:hAnsi="宋体"/>
          <w:color w:val="000000"/>
          <w:highlight w:val="none"/>
        </w:rPr>
        <w:t xml:space="preserve">）各执壹份。  </w:t>
      </w:r>
      <w:r>
        <w:rPr>
          <w:rFonts w:hint="eastAsia" w:hAnsi="宋体"/>
          <w:color w:val="000000"/>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503"/>
        <w:gridCol w:w="4019"/>
      </w:tblGrid>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88"/>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甲方：</w:t>
            </w:r>
            <w:r>
              <w:rPr>
                <w:rFonts w:hint="eastAsia" w:hAnsi="宋体" w:eastAsia="宋体"/>
                <w:color w:val="000000"/>
                <w:highlight w:val="none"/>
                <w:lang w:eastAsia="zh-CN"/>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988"/>
              <w:spacing w:before="120" w:after="120" w:line="360" w:lineRule="auto"/>
              <w:rPr>
                <w:rFonts w:hAnsi="宋体"/>
                <w:color w:val="000000"/>
                <w:highlight w:val="none"/>
              </w:rPr>
            </w:pPr>
            <w:r>
              <w:rPr>
                <w:rFonts w:hint="eastAsia" w:hAnsi="宋体"/>
                <w:color w:val="000000"/>
                <w:highlight w:val="none"/>
              </w:rPr>
              <w:t xml:space="preserve">乙方：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73"/>
              <w:jc w:val="left"/>
              <w:spacing w:line="360" w:lineRule="auto"/>
              <w:rPr>
                <w:rFonts w:hAnsi="宋体"/>
                <w:color w:val="000000"/>
                <w:highlight w:val="none"/>
              </w:rPr>
            </w:pPr>
            <w:r>
              <w:rPr>
                <w:rFonts w:hint="eastAsia" w:hAnsi="宋体"/>
                <w:color w:val="000000"/>
                <w:highlight w:val="none"/>
              </w:rPr>
              <w:t xml:space="preserve">地址：</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988"/>
              <w:spacing w:before="120" w:after="120" w:line="360" w:lineRule="auto"/>
              <w:rPr>
                <w:rFonts w:hAnsi="宋体"/>
                <w:color w:val="000000"/>
                <w:highlight w:val="none"/>
              </w:rPr>
            </w:pPr>
            <w:r>
              <w:rPr>
                <w:rFonts w:hint="eastAsia" w:hAnsi="宋体"/>
                <w:color w:val="000000"/>
                <w:highlight w:val="none"/>
              </w:rPr>
              <w:t xml:space="preserve">地址：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88"/>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988"/>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88"/>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988"/>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88"/>
              <w:spacing w:before="120" w:after="120" w:line="360" w:lineRule="auto"/>
              <w:rPr>
                <w:rFonts w:hAnsi="宋体"/>
                <w:color w:val="000000"/>
                <w:highlight w:val="none"/>
              </w:rPr>
            </w:pPr>
            <w:r>
              <w:rPr>
                <w:rFonts w:hint="eastAsia" w:hAnsi="宋体"/>
                <w:color w:val="000000"/>
                <w:highlight w:val="none"/>
              </w:rPr>
              <w:t xml:space="preserve">日期：      年    月    日  </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988"/>
              <w:spacing w:before="120" w:after="120" w:line="360" w:lineRule="auto"/>
              <w:rPr>
                <w:rFonts w:hAnsi="宋体"/>
                <w:color w:val="000000"/>
                <w:highlight w:val="none"/>
              </w:rPr>
            </w:pPr>
            <w:r>
              <w:rPr>
                <w:rFonts w:hint="eastAsia" w:hAnsi="宋体"/>
                <w:color w:val="000000"/>
                <w:highlight w:val="none"/>
              </w:rPr>
              <w:t xml:space="preserve">日期：      年    月    日</w:t>
            </w:r>
            <w:r>
              <w:rPr>
                <w:rFonts w:hAnsi="宋体"/>
                <w:color w:val="000000"/>
                <w:highlight w:val="none"/>
              </w:rPr>
            </w:r>
            <w:r/>
          </w:p>
        </w:tc>
      </w:tr>
    </w:tbl>
    <w:p>
      <w:pPr>
        <w:pStyle w:val="988"/>
        <w:spacing w:before="120" w:after="120" w:line="360" w:lineRule="auto"/>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988"/>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 见证方：</w:t>
      </w:r>
      <w:r>
        <w:rPr>
          <w:rFonts w:hint="eastAsia" w:hAnsi="宋体"/>
          <w:color w:val="000000"/>
          <w:highlight w:val="none"/>
          <w:lang w:eastAsia="zh-CN"/>
        </w:rPr>
        <w:t xml:space="preserve">扬州博远工程咨询有限公司</w:t>
      </w:r>
      <w:r>
        <w:rPr>
          <w:rFonts w:hint="eastAsia" w:hAnsi="宋体" w:eastAsia="宋体"/>
          <w:color w:val="000000"/>
          <w:highlight w:val="none"/>
          <w:lang w:eastAsia="zh-CN"/>
        </w:rPr>
      </w:r>
      <w:r/>
    </w:p>
    <w:p>
      <w:pPr>
        <w:pStyle w:val="988"/>
        <w:ind w:firstLine="105"/>
        <w:keepLines w:val="0"/>
        <w:keepNext w:val="0"/>
        <w:pageBreakBefore w:val="0"/>
        <w:spacing w:before="120" w:after="120" w:line="360" w:lineRule="auto"/>
        <w:widowControl w:val="off"/>
        <w:rPr>
          <w:rFonts w:hint="eastAsia"/>
          <w:color w:val="000000"/>
          <w:highlight w:val="none"/>
        </w:rPr>
      </w:pPr>
      <w:r>
        <w:rPr>
          <w:rFonts w:hint="eastAsia" w:hAnsi="宋体"/>
          <w:color w:val="000000"/>
          <w:highlight w:val="none"/>
        </w:rPr>
        <w:t xml:space="preserve">日期：     年   月</w:t>
      </w:r>
      <w:r>
        <w:rPr>
          <w:rFonts w:hint="eastAsia" w:hAnsi="宋体"/>
          <w:color w:val="000000"/>
          <w:highlight w:val="none"/>
          <w:lang w:val="en-US" w:eastAsia="zh-CN"/>
        </w:rPr>
        <w:t xml:space="preserve"> </w:t>
      </w:r>
      <w:r>
        <w:rPr>
          <w:rFonts w:hint="eastAsia" w:hAnsi="宋体"/>
          <w:color w:val="000000"/>
          <w:highlight w:val="none"/>
        </w:rPr>
        <w:t xml:space="preserve">   日</w:t>
      </w:r>
      <w:bookmarkStart w:id="54" w:name="_Toc528771312"/>
      <w:r>
        <w:rPr>
          <w:rFonts w:hint="eastAsia"/>
          <w:color w:val="000000"/>
          <w:highlight w:val="none"/>
        </w:rPr>
      </w:r>
      <w:r/>
    </w:p>
    <w:p>
      <w:pPr>
        <w:pStyle w:val="973"/>
        <w:jc w:val="center"/>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973"/>
        <w:jc w:val="center"/>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973"/>
        <w:jc w:val="center"/>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973"/>
        <w:jc w:val="center"/>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973"/>
        <w:jc w:val="center"/>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976"/>
        <w:spacing w:beforeAutospacing="0" w:afterAutospacing="0" w:line="360" w:lineRule="auto"/>
        <w:widowControl/>
        <w:rPr>
          <w:rFonts w:hint="eastAsia" w:ascii="宋体" w:hAnsi="宋体" w:eastAsia="宋体" w:cs="宋体"/>
          <w:sz w:val="21"/>
          <w:szCs w:val="21"/>
          <w:highlight w:val="none"/>
        </w:rPr>
      </w:pPr>
      <w:r>
        <w:rPr>
          <w:rFonts w:hint="eastAsia" w:ascii="宋体" w:hAnsi="宋体" w:eastAsia="宋体" w:cs="宋体"/>
          <w:color w:val="0f1115"/>
          <w:sz w:val="21"/>
          <w:szCs w:val="21"/>
          <w:highlight w:val="none"/>
          <w:shd w:val="clear" w:color="auto" w:fill="ffffff"/>
        </w:rPr>
        <w:t xml:space="preserve">附件：仪征市排水智能化系统运维服务考核方案</w:t>
      </w:r>
      <w:r>
        <w:rPr>
          <w:rFonts w:hint="eastAsia" w:ascii="宋体" w:hAnsi="宋体" w:eastAsia="宋体" w:cs="宋体"/>
          <w:sz w:val="21"/>
          <w:szCs w:val="21"/>
          <w:highlight w:val="none"/>
        </w:rPr>
      </w:r>
      <w:r/>
    </w:p>
    <w:p>
      <w:pPr>
        <w:pStyle w:val="998"/>
        <w:spacing w:line="360" w:lineRule="auto"/>
        <w:widowControl/>
        <w:rPr>
          <w:rFonts w:hint="eastAsia" w:ascii="宋体" w:hAnsi="宋体" w:eastAsia="宋体" w:cs="宋体"/>
          <w:sz w:val="21"/>
          <w:szCs w:val="21"/>
          <w:highlight w:val="none"/>
        </w:rPr>
      </w:pPr>
      <w:r>
        <w:rPr>
          <w:rFonts w:hint="eastAsia" w:ascii="宋体" w:hAnsi="宋体" w:eastAsia="宋体" w:cs="宋体"/>
          <w:b/>
          <w:bCs/>
          <w:color w:val="0f1115"/>
          <w:sz w:val="21"/>
          <w:szCs w:val="21"/>
          <w:highlight w:val="none"/>
          <w:shd w:val="clear" w:color="auto" w:fill="ffffff"/>
        </w:rPr>
        <w:t xml:space="preserve">（本附件为《仪征市排水智能化系统运维项目采购合同》不可分割的一部分）</w:t>
      </w:r>
      <w:r>
        <w:rPr>
          <w:rFonts w:hint="eastAsia" w:ascii="宋体" w:hAnsi="宋体" w:eastAsia="宋体" w:cs="宋体"/>
          <w:sz w:val="21"/>
          <w:szCs w:val="21"/>
          <w:highlight w:val="none"/>
        </w:rPr>
      </w:r>
      <w:r/>
    </w:p>
    <w:p>
      <w:pPr>
        <w:pStyle w:val="998"/>
        <w:spacing w:line="360" w:lineRule="auto"/>
        <w:widowControl/>
        <w:rPr>
          <w:rFonts w:hint="eastAsia" w:ascii="宋体" w:hAnsi="宋体" w:eastAsia="宋体" w:cs="宋体"/>
          <w:sz w:val="21"/>
          <w:szCs w:val="21"/>
          <w:highlight w:val="none"/>
        </w:rPr>
        <w:outlineLvl w:val="0"/>
      </w:pPr>
      <w:r>
        <w:rPr>
          <w:rFonts w:hint="eastAsia" w:ascii="宋体" w:hAnsi="宋体" w:eastAsia="宋体" w:cs="宋体"/>
          <w:b/>
          <w:bCs/>
          <w:color w:val="0f1115"/>
          <w:sz w:val="21"/>
          <w:szCs w:val="21"/>
          <w:highlight w:val="none"/>
          <w:shd w:val="clear" w:color="auto" w:fill="ffffff"/>
        </w:rPr>
        <w:t xml:space="preserve">第一条 考核目的</w:t>
      </w:r>
      <w:r>
        <w:rPr>
          <w:rFonts w:hint="eastAsia" w:ascii="宋体" w:hAnsi="宋体" w:eastAsia="宋体" w:cs="宋体"/>
          <w:sz w:val="21"/>
          <w:szCs w:val="21"/>
          <w:highlight w:val="none"/>
        </w:rPr>
      </w:r>
      <w:r/>
    </w:p>
    <w:p>
      <w:pPr>
        <w:pStyle w:val="998"/>
        <w:ind w:firstLine="420"/>
        <w:spacing w:line="360" w:lineRule="auto"/>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t xml:space="preserve">为保障《仪征市排水智能化系统运维项目》（以下简称“本项目”）所建设的“仪征市排水智能化系统”（以下简称“系统”）稳定、高效、可靠运行，确保各项运维服务达到合同要求，充分发挥系统的业务价值，特制定本服务考核方案。甲方依据本方案的考核结果，按年度向乙方支付相应的服务费用。</w:t>
      </w:r>
      <w:r>
        <w:rPr>
          <w:rFonts w:hint="eastAsia" w:ascii="宋体" w:hAnsi="宋体" w:eastAsia="宋体" w:cs="宋体"/>
          <w:color w:val="0f1115"/>
          <w:sz w:val="21"/>
          <w:szCs w:val="21"/>
          <w:highlight w:val="none"/>
          <w:shd w:val="clear" w:color="auto" w:fill="ffffff"/>
        </w:rPr>
      </w:r>
      <w:r/>
    </w:p>
    <w:p>
      <w:pPr>
        <w:pStyle w:val="998"/>
        <w:spacing w:line="360" w:lineRule="auto"/>
        <w:widowControl/>
        <w:rPr>
          <w:rFonts w:hint="eastAsia" w:ascii="宋体" w:hAnsi="宋体" w:eastAsia="宋体" w:cs="宋体"/>
          <w:sz w:val="21"/>
          <w:szCs w:val="21"/>
          <w:highlight w:val="none"/>
        </w:rPr>
        <w:outlineLvl w:val="0"/>
      </w:pPr>
      <w:r>
        <w:rPr>
          <w:rFonts w:hint="eastAsia" w:ascii="宋体" w:hAnsi="宋体" w:eastAsia="宋体" w:cs="宋体"/>
          <w:b/>
          <w:bCs/>
          <w:color w:val="0f1115"/>
          <w:sz w:val="21"/>
          <w:szCs w:val="21"/>
          <w:highlight w:val="none"/>
          <w:shd w:val="clear" w:color="auto" w:fill="ffffff"/>
        </w:rPr>
        <w:t xml:space="preserve">第二条 考核原则</w:t>
      </w:r>
      <w:r>
        <w:rPr>
          <w:rFonts w:hint="eastAsia" w:ascii="宋体" w:hAnsi="宋体" w:eastAsia="宋体" w:cs="宋体"/>
          <w:sz w:val="21"/>
          <w:szCs w:val="21"/>
          <w:highlight w:val="none"/>
        </w:rPr>
      </w:r>
      <w:r/>
    </w:p>
    <w:p>
      <w:pPr>
        <w:pStyle w:val="998"/>
        <w:numPr>
          <w:ilvl w:val="0"/>
          <w:numId w:val="5"/>
        </w:numPr>
        <w:spacing w:line="360" w:lineRule="auto"/>
        <w:widowControl/>
        <w:rPr>
          <w:rFonts w:hint="eastAsia" w:ascii="宋体" w:hAnsi="宋体" w:eastAsia="宋体" w:cs="宋体"/>
          <w:sz w:val="21"/>
          <w:szCs w:val="21"/>
          <w:highlight w:val="none"/>
        </w:rPr>
      </w:pPr>
      <w:r>
        <w:rPr>
          <w:rFonts w:hint="eastAsia" w:ascii="宋体" w:hAnsi="宋体" w:eastAsia="宋体" w:cs="宋体"/>
          <w:b/>
          <w:bCs/>
          <w:color w:val="0f1115"/>
          <w:sz w:val="21"/>
          <w:szCs w:val="21"/>
          <w:highlight w:val="none"/>
          <w:shd w:val="clear" w:color="auto" w:fill="ffffff"/>
        </w:rPr>
        <w:t xml:space="preserve">客观公正原则</w:t>
      </w:r>
      <w:r>
        <w:rPr>
          <w:rFonts w:hint="eastAsia" w:ascii="宋体" w:hAnsi="宋体" w:eastAsia="宋体" w:cs="宋体"/>
          <w:color w:val="0f1115"/>
          <w:sz w:val="21"/>
          <w:szCs w:val="21"/>
          <w:highlight w:val="none"/>
          <w:shd w:val="clear" w:color="auto" w:fill="ffffff"/>
        </w:rPr>
        <w:t xml:space="preserve">：所有考核指标均以系统自动生成的数据和日志为准，减少主观判断。</w:t>
      </w:r>
      <w:r>
        <w:rPr>
          <w:rFonts w:hint="eastAsia" w:ascii="宋体" w:hAnsi="宋体" w:eastAsia="宋体" w:cs="宋体"/>
          <w:sz w:val="21"/>
          <w:szCs w:val="21"/>
          <w:highlight w:val="none"/>
        </w:rPr>
      </w:r>
      <w:r/>
    </w:p>
    <w:p>
      <w:pPr>
        <w:pStyle w:val="998"/>
        <w:numPr>
          <w:ilvl w:val="0"/>
          <w:numId w:val="5"/>
        </w:numPr>
        <w:spacing w:line="360" w:lineRule="auto"/>
        <w:widowControl/>
        <w:rPr>
          <w:rFonts w:hint="eastAsia" w:ascii="宋体" w:hAnsi="宋体" w:eastAsia="宋体" w:cs="宋体"/>
          <w:sz w:val="21"/>
          <w:szCs w:val="21"/>
          <w:highlight w:val="none"/>
        </w:rPr>
      </w:pPr>
      <w:r>
        <w:rPr>
          <w:rFonts w:hint="eastAsia" w:ascii="宋体" w:hAnsi="宋体" w:eastAsia="宋体" w:cs="宋体"/>
          <w:b/>
          <w:bCs/>
          <w:color w:val="0f1115"/>
          <w:sz w:val="21"/>
          <w:szCs w:val="21"/>
          <w:highlight w:val="none"/>
          <w:shd w:val="clear" w:color="auto" w:fill="ffffff"/>
        </w:rPr>
        <w:t xml:space="preserve">数据溯源原则</w:t>
      </w:r>
      <w:r>
        <w:rPr>
          <w:rFonts w:hint="eastAsia" w:ascii="宋体" w:hAnsi="宋体" w:eastAsia="宋体" w:cs="宋体"/>
          <w:color w:val="0f1115"/>
          <w:sz w:val="21"/>
          <w:szCs w:val="21"/>
          <w:highlight w:val="none"/>
          <w:shd w:val="clear" w:color="auto" w:fill="ffffff"/>
        </w:rPr>
        <w:t xml:space="preserve">：考核所用数据全部来源于本项目新建或整合进系统的内部功能模块以及日常项目管理文档，不引用第三方系统的数据进行评价。</w:t>
      </w:r>
      <w:r>
        <w:rPr>
          <w:rFonts w:hint="eastAsia" w:ascii="宋体" w:hAnsi="宋体" w:eastAsia="宋体" w:cs="宋体"/>
          <w:sz w:val="21"/>
          <w:szCs w:val="21"/>
          <w:highlight w:val="none"/>
        </w:rPr>
      </w:r>
      <w:r/>
    </w:p>
    <w:p>
      <w:pPr>
        <w:pStyle w:val="998"/>
        <w:numPr>
          <w:ilvl w:val="0"/>
          <w:numId w:val="5"/>
        </w:numPr>
        <w:spacing w:line="360" w:lineRule="auto"/>
        <w:widowControl/>
        <w:rPr>
          <w:rFonts w:hint="eastAsia" w:ascii="宋体" w:hAnsi="宋体" w:eastAsia="宋体" w:cs="宋体"/>
          <w:sz w:val="21"/>
          <w:szCs w:val="21"/>
          <w:highlight w:val="none"/>
        </w:rPr>
      </w:pPr>
      <w:r>
        <w:rPr>
          <w:rFonts w:hint="eastAsia" w:ascii="宋体" w:hAnsi="宋体" w:eastAsia="宋体" w:cs="宋体"/>
          <w:b/>
          <w:bCs/>
          <w:color w:val="0f1115"/>
          <w:sz w:val="21"/>
          <w:szCs w:val="21"/>
          <w:highlight w:val="none"/>
          <w:shd w:val="clear" w:color="auto" w:fill="ffffff"/>
        </w:rPr>
        <w:t xml:space="preserve">量化可比原则</w:t>
      </w:r>
      <w:r>
        <w:rPr>
          <w:rFonts w:hint="eastAsia" w:ascii="宋体" w:hAnsi="宋体" w:eastAsia="宋体" w:cs="宋体"/>
          <w:color w:val="0f1115"/>
          <w:sz w:val="21"/>
          <w:szCs w:val="21"/>
          <w:highlight w:val="none"/>
          <w:shd w:val="clear" w:color="auto" w:fill="ffffff"/>
        </w:rPr>
        <w:t xml:space="preserve">：考核指标采用可量化计算的数值型指标，结果清晰、可比。</w:t>
      </w:r>
      <w:r>
        <w:rPr>
          <w:rFonts w:hint="eastAsia" w:ascii="宋体" w:hAnsi="宋体" w:eastAsia="宋体" w:cs="宋体"/>
          <w:sz w:val="21"/>
          <w:szCs w:val="21"/>
          <w:highlight w:val="none"/>
        </w:rPr>
      </w:r>
      <w:r/>
    </w:p>
    <w:p>
      <w:pPr>
        <w:pStyle w:val="998"/>
        <w:numPr>
          <w:ilvl w:val="0"/>
          <w:numId w:val="5"/>
        </w:numPr>
        <w:spacing w:line="360" w:lineRule="auto"/>
        <w:widowControl/>
        <w:rPr>
          <w:rFonts w:hint="eastAsia" w:ascii="宋体" w:hAnsi="宋体" w:eastAsia="宋体" w:cs="宋体"/>
          <w:sz w:val="21"/>
          <w:szCs w:val="21"/>
          <w:highlight w:val="none"/>
        </w:rPr>
      </w:pPr>
      <w:r>
        <w:rPr>
          <w:rFonts w:hint="eastAsia" w:ascii="宋体" w:hAnsi="宋体" w:eastAsia="宋体" w:cs="宋体"/>
          <w:b/>
          <w:bCs/>
          <w:color w:val="0f1115"/>
          <w:sz w:val="21"/>
          <w:szCs w:val="21"/>
          <w:highlight w:val="none"/>
          <w:shd w:val="clear" w:color="auto" w:fill="ffffff"/>
        </w:rPr>
        <w:t xml:space="preserve">按效支付原则</w:t>
      </w:r>
      <w:r>
        <w:rPr>
          <w:rFonts w:hint="eastAsia" w:ascii="宋体" w:hAnsi="宋体" w:eastAsia="宋体" w:cs="宋体"/>
          <w:color w:val="0f1115"/>
          <w:sz w:val="21"/>
          <w:szCs w:val="21"/>
          <w:highlight w:val="none"/>
          <w:shd w:val="clear" w:color="auto" w:fill="ffffff"/>
        </w:rPr>
        <w:t xml:space="preserve">：甲方根据年度考核</w:t>
      </w:r>
      <w:r>
        <w:rPr>
          <w:rFonts w:hint="eastAsia" w:ascii="宋体" w:hAnsi="宋体" w:eastAsia="宋体" w:cs="宋体"/>
          <w:color w:val="0f1115"/>
          <w:sz w:val="21"/>
          <w:szCs w:val="21"/>
          <w:highlight w:val="none"/>
          <w:shd w:val="clear" w:color="auto" w:fill="ffffff"/>
          <w:lang w:val="en-US" w:eastAsia="zh-CN"/>
        </w:rPr>
        <w:t xml:space="preserve">结果</w:t>
      </w:r>
      <w:r>
        <w:rPr>
          <w:rFonts w:hint="eastAsia" w:ascii="宋体" w:hAnsi="宋体" w:eastAsia="宋体" w:cs="宋体"/>
          <w:color w:val="0f1115"/>
          <w:sz w:val="21"/>
          <w:szCs w:val="21"/>
          <w:highlight w:val="none"/>
          <w:shd w:val="clear" w:color="auto" w:fill="ffffff"/>
        </w:rPr>
        <w:t xml:space="preserve">，按比例向乙方支付当年度服务费用。</w:t>
      </w:r>
      <w:r>
        <w:rPr>
          <w:rFonts w:hint="eastAsia" w:ascii="宋体" w:hAnsi="宋体" w:eastAsia="宋体" w:cs="宋体"/>
          <w:sz w:val="21"/>
          <w:szCs w:val="21"/>
          <w:highlight w:val="none"/>
        </w:rPr>
      </w:r>
      <w:r/>
    </w:p>
    <w:p>
      <w:pPr>
        <w:pStyle w:val="998"/>
        <w:spacing w:line="360" w:lineRule="auto"/>
        <w:widowControl/>
        <w:rPr>
          <w:rFonts w:hint="eastAsia" w:ascii="宋体" w:hAnsi="宋体" w:eastAsia="宋体" w:cs="宋体"/>
          <w:sz w:val="21"/>
          <w:szCs w:val="21"/>
          <w:highlight w:val="none"/>
        </w:rPr>
        <w:outlineLvl w:val="0"/>
      </w:pPr>
      <w:r>
        <w:rPr>
          <w:rFonts w:hint="eastAsia" w:ascii="宋体" w:hAnsi="宋体" w:eastAsia="宋体" w:cs="宋体"/>
          <w:b/>
          <w:bCs/>
          <w:color w:val="0f1115"/>
          <w:sz w:val="21"/>
          <w:szCs w:val="21"/>
          <w:highlight w:val="none"/>
          <w:shd w:val="clear" w:color="auto" w:fill="ffffff"/>
        </w:rPr>
        <w:t xml:space="preserve">第三条 考核范围与周期</w:t>
      </w:r>
      <w:r>
        <w:rPr>
          <w:rFonts w:hint="eastAsia" w:ascii="宋体" w:hAnsi="宋体" w:eastAsia="宋体" w:cs="宋体"/>
          <w:sz w:val="21"/>
          <w:szCs w:val="21"/>
          <w:highlight w:val="none"/>
        </w:rPr>
      </w:r>
      <w:r/>
    </w:p>
    <w:p>
      <w:pPr>
        <w:pStyle w:val="998"/>
        <w:numPr>
          <w:ilvl w:val="0"/>
          <w:numId w:val="6"/>
        </w:numPr>
        <w:spacing w:line="360" w:lineRule="auto"/>
        <w:widowControl/>
        <w:rPr>
          <w:rFonts w:hint="eastAsia" w:ascii="宋体" w:hAnsi="宋体" w:eastAsia="宋体" w:cs="宋体"/>
          <w:sz w:val="21"/>
          <w:szCs w:val="21"/>
          <w:highlight w:val="none"/>
        </w:rPr>
        <w:outlineLvl w:val="1"/>
      </w:pPr>
      <w:r>
        <w:rPr>
          <w:rFonts w:hint="eastAsia" w:ascii="宋体" w:hAnsi="宋体" w:eastAsia="宋体" w:cs="宋体"/>
          <w:b/>
          <w:bCs/>
          <w:color w:val="0f1115"/>
          <w:sz w:val="21"/>
          <w:szCs w:val="21"/>
          <w:highlight w:val="none"/>
          <w:shd w:val="clear" w:color="auto" w:fill="ffffff"/>
        </w:rPr>
        <w:t xml:space="preserve">考核对象</w:t>
      </w:r>
      <w:r>
        <w:rPr>
          <w:rFonts w:hint="eastAsia" w:ascii="宋体" w:hAnsi="宋体" w:eastAsia="宋体" w:cs="宋体"/>
          <w:color w:val="0f1115"/>
          <w:sz w:val="21"/>
          <w:szCs w:val="21"/>
          <w:highlight w:val="none"/>
          <w:shd w:val="clear" w:color="auto" w:fill="ffffff"/>
        </w:rPr>
        <w:t xml:space="preserve">：乙方在本项目合同项下提供的全部运维服务，包括但不限于：</w:t>
      </w:r>
      <w:r>
        <w:rPr>
          <w:rFonts w:hint="eastAsia" w:ascii="宋体" w:hAnsi="宋体" w:eastAsia="宋体" w:cs="宋体"/>
          <w:sz w:val="21"/>
          <w:szCs w:val="21"/>
          <w:highlight w:val="none"/>
        </w:rPr>
      </w:r>
      <w:r/>
    </w:p>
    <w:p>
      <w:pPr>
        <w:pStyle w:val="998"/>
        <w:numPr>
          <w:ilvl w:val="0"/>
          <w:numId w:val="7"/>
        </w:numPr>
        <w:spacing w:line="360" w:lineRule="auto"/>
        <w:widowControl/>
        <w:rPr>
          <w:rFonts w:hint="eastAsia" w:ascii="宋体" w:hAnsi="宋体" w:eastAsia="宋体" w:cs="宋体"/>
          <w:sz w:val="21"/>
          <w:szCs w:val="21"/>
          <w:highlight w:val="none"/>
        </w:rPr>
      </w:pPr>
      <w:r>
        <w:rPr>
          <w:rFonts w:hint="eastAsia" w:ascii="宋体" w:hAnsi="宋体" w:eastAsia="宋体" w:cs="宋体"/>
          <w:color w:val="0f1115"/>
          <w:sz w:val="21"/>
          <w:szCs w:val="21"/>
          <w:highlight w:val="none"/>
          <w:shd w:val="clear" w:color="auto" w:fill="ffffff"/>
        </w:rPr>
        <w:t xml:space="preserve">排水综合管理专项平台（GIS综合管理平台）的稳定运行；</w:t>
      </w:r>
      <w:r>
        <w:rPr>
          <w:rFonts w:hint="eastAsia" w:ascii="宋体" w:hAnsi="宋体" w:eastAsia="宋体" w:cs="宋体"/>
          <w:sz w:val="21"/>
          <w:szCs w:val="21"/>
          <w:highlight w:val="none"/>
        </w:rPr>
      </w:r>
      <w:r/>
    </w:p>
    <w:p>
      <w:pPr>
        <w:pStyle w:val="998"/>
        <w:numPr>
          <w:ilvl w:val="0"/>
          <w:numId w:val="7"/>
        </w:numPr>
        <w:spacing w:line="360" w:lineRule="auto"/>
        <w:widowControl/>
        <w:rPr>
          <w:rFonts w:hint="eastAsia" w:ascii="宋体" w:hAnsi="宋体" w:eastAsia="宋体" w:cs="宋体"/>
          <w:sz w:val="21"/>
          <w:szCs w:val="21"/>
          <w:highlight w:val="none"/>
        </w:rPr>
      </w:pPr>
      <w:r>
        <w:rPr>
          <w:rFonts w:hint="eastAsia" w:ascii="宋体" w:hAnsi="宋体" w:eastAsia="宋体" w:cs="宋体"/>
          <w:color w:val="0f1115"/>
          <w:sz w:val="21"/>
          <w:szCs w:val="21"/>
          <w:highlight w:val="none"/>
          <w:shd w:val="clear" w:color="auto" w:fill="ffffff"/>
        </w:rPr>
        <w:t xml:space="preserve">数据分析服务平台各项算法模型的准确性与有效性；</w:t>
      </w:r>
      <w:r>
        <w:rPr>
          <w:rFonts w:hint="eastAsia" w:ascii="宋体" w:hAnsi="宋体" w:eastAsia="宋体" w:cs="宋体"/>
          <w:sz w:val="21"/>
          <w:szCs w:val="21"/>
          <w:highlight w:val="none"/>
        </w:rPr>
      </w:r>
      <w:r/>
    </w:p>
    <w:p>
      <w:pPr>
        <w:pStyle w:val="998"/>
        <w:numPr>
          <w:ilvl w:val="0"/>
          <w:numId w:val="7"/>
        </w:numPr>
        <w:spacing w:line="360" w:lineRule="auto"/>
        <w:widowControl/>
        <w:rPr>
          <w:rFonts w:hint="eastAsia" w:ascii="宋体" w:hAnsi="宋体" w:eastAsia="宋体" w:cs="宋体"/>
          <w:sz w:val="21"/>
          <w:szCs w:val="21"/>
          <w:highlight w:val="none"/>
        </w:rPr>
      </w:pPr>
      <w:r>
        <w:rPr>
          <w:rFonts w:hint="eastAsia" w:ascii="宋体" w:hAnsi="宋体" w:eastAsia="宋体" w:cs="宋体"/>
          <w:color w:val="0f1115"/>
          <w:sz w:val="21"/>
          <w:szCs w:val="21"/>
          <w:highlight w:val="none"/>
          <w:shd w:val="clear" w:color="auto" w:fill="ffffff"/>
        </w:rPr>
        <w:t xml:space="preserve">系统数据资源（含历史治理数据与新增监测数据）的质量；</w:t>
      </w:r>
      <w:r>
        <w:rPr>
          <w:rFonts w:hint="eastAsia" w:ascii="宋体" w:hAnsi="宋体" w:eastAsia="宋体" w:cs="宋体"/>
          <w:sz w:val="21"/>
          <w:szCs w:val="21"/>
          <w:highlight w:val="none"/>
        </w:rPr>
      </w:r>
      <w:r/>
    </w:p>
    <w:p>
      <w:pPr>
        <w:pStyle w:val="998"/>
        <w:numPr>
          <w:ilvl w:val="0"/>
          <w:numId w:val="7"/>
        </w:numPr>
        <w:spacing w:line="360" w:lineRule="auto"/>
        <w:widowControl/>
        <w:rPr>
          <w:rFonts w:hint="eastAsia" w:ascii="宋体" w:hAnsi="宋体" w:eastAsia="宋体" w:cs="宋体"/>
          <w:sz w:val="21"/>
          <w:szCs w:val="21"/>
          <w:highlight w:val="none"/>
        </w:rPr>
      </w:pPr>
      <w:r>
        <w:rPr>
          <w:rFonts w:hint="eastAsia" w:ascii="宋体" w:hAnsi="宋体" w:eastAsia="宋体" w:cs="宋体"/>
          <w:color w:val="0f1115"/>
          <w:sz w:val="21"/>
          <w:szCs w:val="21"/>
          <w:highlight w:val="none"/>
          <w:shd w:val="clear" w:color="auto" w:fill="ffffff"/>
        </w:rPr>
        <w:t xml:space="preserve">乙方驻场团队的服务响应与交付能力；</w:t>
      </w:r>
      <w:r>
        <w:rPr>
          <w:rFonts w:hint="eastAsia" w:ascii="宋体" w:hAnsi="宋体" w:eastAsia="宋体" w:cs="宋体"/>
          <w:sz w:val="21"/>
          <w:szCs w:val="21"/>
          <w:highlight w:val="none"/>
        </w:rPr>
      </w:r>
      <w:r/>
    </w:p>
    <w:p>
      <w:pPr>
        <w:pStyle w:val="998"/>
        <w:numPr>
          <w:ilvl w:val="0"/>
          <w:numId w:val="7"/>
        </w:numPr>
        <w:spacing w:line="360" w:lineRule="auto"/>
        <w:widowControl/>
        <w:rPr>
          <w:rFonts w:hint="eastAsia" w:ascii="宋体" w:hAnsi="宋体" w:eastAsia="宋体" w:cs="宋体"/>
          <w:sz w:val="21"/>
          <w:szCs w:val="21"/>
          <w:highlight w:val="none"/>
        </w:rPr>
      </w:pPr>
      <w:r>
        <w:rPr>
          <w:rFonts w:hint="eastAsia" w:ascii="宋体" w:hAnsi="宋体" w:eastAsia="宋体" w:cs="宋体"/>
          <w:color w:val="0f1115"/>
          <w:sz w:val="21"/>
          <w:szCs w:val="21"/>
          <w:highlight w:val="none"/>
          <w:shd w:val="clear" w:color="auto" w:fill="ffffff"/>
        </w:rPr>
        <w:t xml:space="preserve">合同约定的其他运维事项（如硬件设备“动态哨兵”策略执行、汛期保障、培训等）。</w:t>
      </w:r>
      <w:r>
        <w:rPr>
          <w:rFonts w:hint="eastAsia" w:ascii="宋体" w:hAnsi="宋体" w:eastAsia="宋体" w:cs="宋体"/>
          <w:sz w:val="21"/>
          <w:szCs w:val="21"/>
          <w:highlight w:val="none"/>
        </w:rPr>
      </w:r>
      <w:r/>
    </w:p>
    <w:p>
      <w:pPr>
        <w:pStyle w:val="998"/>
        <w:numPr>
          <w:ilvl w:val="0"/>
          <w:numId w:val="6"/>
        </w:numPr>
        <w:spacing w:line="360" w:lineRule="auto"/>
        <w:widowControl/>
        <w:rPr>
          <w:rFonts w:hint="eastAsia" w:ascii="宋体" w:hAnsi="宋体" w:eastAsia="宋体" w:cs="宋体"/>
          <w:sz w:val="21"/>
          <w:szCs w:val="21"/>
          <w:highlight w:val="none"/>
        </w:rPr>
        <w:outlineLvl w:val="1"/>
      </w:pPr>
      <w:r>
        <w:rPr>
          <w:rFonts w:hint="eastAsia" w:ascii="宋体" w:hAnsi="宋体" w:eastAsia="宋体" w:cs="宋体"/>
          <w:b/>
          <w:bCs/>
          <w:color w:val="0f1115"/>
          <w:sz w:val="21"/>
          <w:szCs w:val="21"/>
          <w:highlight w:val="none"/>
          <w:shd w:val="clear" w:color="auto" w:fill="ffffff"/>
        </w:rPr>
        <w:t xml:space="preserve">考核周期</w:t>
      </w:r>
      <w:r>
        <w:rPr>
          <w:rFonts w:hint="eastAsia" w:ascii="宋体" w:hAnsi="宋体" w:eastAsia="宋体" w:cs="宋体"/>
          <w:color w:val="0f1115"/>
          <w:sz w:val="21"/>
          <w:szCs w:val="21"/>
          <w:highlight w:val="none"/>
          <w:shd w:val="clear" w:color="auto" w:fill="ffffff"/>
        </w:rPr>
        <w:t xml:space="preserve">：本项目运营服务期：3年（含建设期</w:t>
      </w:r>
      <w:r>
        <w:rPr>
          <w:rFonts w:hint="eastAsia" w:ascii="宋体" w:hAnsi="宋体" w:eastAsia="宋体" w:cs="宋体"/>
          <w:color w:val="0f1115"/>
          <w:sz w:val="21"/>
          <w:szCs w:val="21"/>
          <w:highlight w:val="none"/>
          <w:shd w:val="clear" w:color="auto" w:fill="ffffff"/>
          <w:lang w:val="en-US" w:eastAsia="zh-CN"/>
        </w:rPr>
        <w:t xml:space="preserve">6个月</w:t>
      </w:r>
      <w:r>
        <w:rPr>
          <w:rFonts w:hint="eastAsia" w:ascii="宋体" w:hAnsi="宋体" w:eastAsia="宋体" w:cs="宋体"/>
          <w:color w:val="0f1115"/>
          <w:sz w:val="21"/>
          <w:szCs w:val="21"/>
          <w:highlight w:val="none"/>
          <w:shd w:val="clear" w:color="auto" w:fill="ffffff"/>
        </w:rPr>
        <w:t xml:space="preserve">），提供驻场运维、数据更新、模型优化、培训等服务。考核按年度进行，每年为一个考核年度。每个考核年度结束后15个工作日内，由甲方组织完成上一年度的服务考核评定。</w:t>
      </w:r>
      <w:r>
        <w:rPr>
          <w:rFonts w:hint="eastAsia" w:ascii="宋体" w:hAnsi="宋体" w:eastAsia="宋体" w:cs="宋体"/>
          <w:sz w:val="21"/>
          <w:szCs w:val="21"/>
          <w:highlight w:val="none"/>
        </w:rPr>
      </w:r>
      <w:r/>
    </w:p>
    <w:p>
      <w:pPr>
        <w:pStyle w:val="998"/>
        <w:spacing w:line="360" w:lineRule="auto"/>
        <w:widowControl/>
        <w:rPr>
          <w:rFonts w:hint="eastAsia" w:ascii="宋体" w:hAnsi="宋体" w:eastAsia="宋体" w:cs="宋体"/>
          <w:sz w:val="21"/>
          <w:szCs w:val="21"/>
          <w:highlight w:val="none"/>
        </w:rPr>
        <w:outlineLvl w:val="0"/>
      </w:pPr>
      <w:r>
        <w:rPr>
          <w:rFonts w:hint="eastAsia" w:ascii="宋体" w:hAnsi="宋体" w:eastAsia="宋体" w:cs="宋体"/>
          <w:b/>
          <w:bCs/>
          <w:color w:val="0f1115"/>
          <w:sz w:val="21"/>
          <w:szCs w:val="21"/>
          <w:highlight w:val="none"/>
          <w:shd w:val="clear" w:color="auto" w:fill="ffffff"/>
        </w:rPr>
        <w:t xml:space="preserve">第四条 考核</w:t>
      </w:r>
      <w:r>
        <w:rPr>
          <w:rFonts w:hint="eastAsia" w:ascii="宋体" w:hAnsi="宋体" w:eastAsia="宋体" w:cs="宋体"/>
          <w:b/>
          <w:bCs/>
          <w:color w:val="0f1115"/>
          <w:sz w:val="21"/>
          <w:szCs w:val="21"/>
          <w:highlight w:val="none"/>
          <w:shd w:val="clear" w:color="auto" w:fill="ffffff"/>
          <w:lang w:val="en-US" w:eastAsia="zh-CN"/>
        </w:rPr>
        <w:t xml:space="preserve">指标</w:t>
      </w:r>
      <w:r>
        <w:rPr>
          <w:rFonts w:hint="eastAsia" w:ascii="宋体" w:hAnsi="宋体" w:eastAsia="宋体" w:cs="宋体"/>
          <w:sz w:val="21"/>
          <w:szCs w:val="21"/>
          <w:highlight w:val="none"/>
        </w:rPr>
      </w:r>
      <w:r/>
    </w:p>
    <w:p>
      <w:pPr>
        <w:pStyle w:val="998"/>
        <w:spacing w:line="360" w:lineRule="auto"/>
        <w:widowControl/>
        <w:rPr>
          <w:rFonts w:ascii="宋体" w:hAnsi="宋体" w:eastAsia="宋体" w:cs="宋体"/>
          <w:sz w:val="21"/>
          <w:szCs w:val="21"/>
          <w:highlight w:val="none"/>
          <w:lang w:val="en-US" w:eastAsia="zh-CN"/>
        </w:rPr>
      </w:pPr>
      <w:r>
        <w:rPr>
          <w:rFonts w:hint="eastAsia" w:ascii="宋体" w:hAnsi="宋体" w:eastAsia="宋体" w:cs="宋体"/>
          <w:color w:val="0f1115"/>
          <w:sz w:val="21"/>
          <w:szCs w:val="21"/>
          <w:highlight w:val="none"/>
          <w:shd w:val="clear" w:color="auto" w:fill="ffffff"/>
          <w:lang w:val="en-US" w:eastAsia="zh-CN"/>
        </w:rPr>
        <w:t xml:space="preserve">以下考核指标均达成为考核合格，</w:t>
      </w:r>
      <w:r>
        <w:rPr>
          <w:rFonts w:hint="eastAsia" w:ascii="宋体" w:hAnsi="宋体" w:eastAsia="宋体" w:cs="宋体"/>
          <w:color w:val="0f1115"/>
          <w:sz w:val="21"/>
          <w:szCs w:val="21"/>
          <w:highlight w:val="none"/>
          <w:shd w:val="clear" w:color="auto" w:fill="ffffff"/>
        </w:rPr>
        <w:t xml:space="preserve">具体</w:t>
      </w:r>
      <w:r>
        <w:rPr>
          <w:rFonts w:hint="eastAsia" w:ascii="宋体" w:hAnsi="宋体" w:eastAsia="宋体" w:cs="宋体"/>
          <w:color w:val="0f1115"/>
          <w:sz w:val="21"/>
          <w:szCs w:val="21"/>
          <w:highlight w:val="none"/>
          <w:shd w:val="clear" w:color="auto" w:fill="ffffff"/>
          <w:lang w:val="en-US" w:eastAsia="zh-CN"/>
        </w:rPr>
        <w:t xml:space="preserve">指标</w:t>
      </w:r>
      <w:r>
        <w:rPr>
          <w:rFonts w:hint="eastAsia" w:ascii="宋体" w:hAnsi="宋体" w:eastAsia="宋体" w:cs="宋体"/>
          <w:color w:val="0f1115"/>
          <w:sz w:val="21"/>
          <w:szCs w:val="21"/>
          <w:highlight w:val="none"/>
          <w:shd w:val="clear" w:color="auto" w:fill="ffffff"/>
        </w:rPr>
        <w:t xml:space="preserve">如下：</w:t>
      </w:r>
      <w:r>
        <w:rPr>
          <w:rFonts w:hint="eastAsia" w:ascii="宋体" w:hAnsi="宋体" w:cs="宋体"/>
          <w:color w:val="0f1115"/>
          <w:sz w:val="21"/>
          <w:szCs w:val="21"/>
          <w:highlight w:val="none"/>
          <w:shd w:val="clear" w:color="auto" w:fill="ffffff"/>
          <w:lang w:val="en-US" w:eastAsia="zh-CN"/>
        </w:rPr>
        <w:t xml:space="preserve">其中考核项：《</w:t>
      </w:r>
      <w:r>
        <w:rPr>
          <w:rFonts w:hint="eastAsia" w:ascii="宋体" w:hAnsi="宋体" w:eastAsia="宋体" w:cs="宋体"/>
          <w:bCs/>
          <w:color w:val="0f1115"/>
          <w:sz w:val="21"/>
          <w:szCs w:val="21"/>
          <w:highlight w:val="none"/>
          <w:shd w:val="clear" w:color="auto" w:fill="ffffff"/>
        </w:rPr>
        <w:t xml:space="preserve">业务目标达成</w:t>
      </w:r>
      <w:r>
        <w:rPr>
          <w:rFonts w:hint="eastAsia" w:ascii="宋体" w:hAnsi="宋体" w:eastAsia="宋体" w:cs="宋体"/>
          <w:bCs/>
          <w:color w:val="0f1115"/>
          <w:sz w:val="21"/>
          <w:szCs w:val="21"/>
          <w:highlight w:val="none"/>
          <w:shd w:val="clear" w:color="auto" w:fill="ffffff"/>
          <w:lang w:eastAsia="zh-CN"/>
        </w:rPr>
        <w:t xml:space="preserve">》</w:t>
      </w:r>
      <w:r>
        <w:rPr>
          <w:rFonts w:hint="eastAsia" w:ascii="宋体" w:hAnsi="宋体" w:eastAsia="宋体" w:cs="宋体"/>
          <w:bCs/>
          <w:color w:val="0f1115"/>
          <w:sz w:val="21"/>
          <w:szCs w:val="21"/>
          <w:highlight w:val="none"/>
          <w:shd w:val="clear" w:color="auto" w:fill="ffffff"/>
          <w:lang w:val="en-US" w:eastAsia="zh-CN"/>
        </w:rPr>
        <w:t xml:space="preserve">用于硬件采购及软件开发验收，其余考核项用于硬件运维及软件运维考核。</w:t>
      </w:r>
      <w:r>
        <w:rPr>
          <w:rFonts w:ascii="宋体" w:hAnsi="宋体" w:eastAsia="宋体" w:cs="宋体"/>
          <w:sz w:val="21"/>
          <w:szCs w:val="21"/>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714"/>
        <w:gridCol w:w="3659"/>
        <w:gridCol w:w="3761"/>
      </w:tblGrid>
      <w:tr>
        <w:trPr>
          <w:trHeight w:val="270"/>
        </w:trPr>
        <w:tc>
          <w:tcPr>
            <w:tcW w:w="565" w:type="dxa"/>
            <w:vAlign w:val="center"/>
            <w:textDirection w:val="lrTb"/>
            <w:noWrap w:val="false"/>
          </w:tcPr>
          <w:p>
            <w:pPr>
              <w:pStyle w:val="97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考核项</w:t>
            </w:r>
            <w:r>
              <w:rPr>
                <w:rFonts w:hint="eastAsia" w:ascii="宋体" w:hAnsi="宋体" w:eastAsia="宋体" w:cs="宋体"/>
                <w:b/>
                <w:bCs/>
                <w:color w:val="000000"/>
                <w:sz w:val="21"/>
                <w:szCs w:val="21"/>
                <w:highlight w:val="none"/>
              </w:rPr>
            </w:r>
            <w:r/>
          </w:p>
        </w:tc>
        <w:tc>
          <w:tcPr>
            <w:tcW w:w="389" w:type="dxa"/>
            <w:vAlign w:val="center"/>
            <w:textDirection w:val="lrTb"/>
            <w:noWrap w:val="false"/>
          </w:tcPr>
          <w:p>
            <w:pPr>
              <w:pStyle w:val="973"/>
              <w:jc w:val="left"/>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序号</w:t>
            </w:r>
            <w:r>
              <w:rPr>
                <w:rFonts w:hint="eastAsia" w:ascii="宋体" w:hAnsi="宋体" w:eastAsia="宋体" w:cs="宋体"/>
                <w:b/>
                <w:bCs/>
                <w:color w:val="000000"/>
                <w:sz w:val="21"/>
                <w:szCs w:val="21"/>
                <w:highlight w:val="none"/>
                <w:lang w:val="en-US" w:eastAsia="zh-CN" w:bidi="ar"/>
              </w:rPr>
            </w:r>
            <w:r/>
          </w:p>
        </w:tc>
        <w:tc>
          <w:tcPr>
            <w:tcW w:w="1994" w:type="dxa"/>
            <w:vAlign w:val="center"/>
            <w:textDirection w:val="lrTb"/>
            <w:noWrap w:val="false"/>
          </w:tcPr>
          <w:p>
            <w:pPr>
              <w:pStyle w:val="973"/>
              <w:jc w:val="lef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bidi="ar"/>
              </w:rPr>
              <w:t xml:space="preserve">考核</w:t>
            </w:r>
            <w:r>
              <w:rPr>
                <w:rFonts w:hint="eastAsia" w:ascii="宋体" w:hAnsi="宋体" w:eastAsia="宋体" w:cs="宋体"/>
                <w:b/>
                <w:bCs/>
                <w:color w:val="000000"/>
                <w:sz w:val="21"/>
                <w:szCs w:val="21"/>
                <w:highlight w:val="none"/>
                <w:lang w:val="en-US" w:eastAsia="zh-CN" w:bidi="ar"/>
              </w:rPr>
              <w:t xml:space="preserve">指标</w:t>
            </w:r>
            <w:r>
              <w:rPr>
                <w:rFonts w:hint="eastAsia" w:ascii="宋体" w:hAnsi="宋体" w:eastAsia="宋体" w:cs="宋体"/>
                <w:b/>
                <w:bCs/>
                <w:color w:val="000000"/>
                <w:sz w:val="21"/>
                <w:szCs w:val="21"/>
                <w:highlight w:val="none"/>
                <w:lang w:val="en-US" w:eastAsia="zh-CN"/>
              </w:rPr>
            </w:r>
            <w:r/>
          </w:p>
        </w:tc>
        <w:tc>
          <w:tcPr>
            <w:tcW w:w="2050" w:type="dxa"/>
            <w:vAlign w:val="center"/>
            <w:textDirection w:val="lrTb"/>
            <w:noWrap w:val="false"/>
          </w:tcPr>
          <w:p>
            <w:pPr>
              <w:pStyle w:val="97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
              </w:rPr>
              <w:t xml:space="preserve">考核</w:t>
            </w:r>
            <w:r>
              <w:rPr>
                <w:rFonts w:hint="eastAsia" w:ascii="宋体" w:hAnsi="宋体" w:eastAsia="宋体" w:cs="宋体"/>
                <w:b/>
                <w:bCs/>
                <w:color w:val="000000"/>
                <w:sz w:val="21"/>
                <w:szCs w:val="21"/>
                <w:highlight w:val="none"/>
                <w:lang w:bidi="ar"/>
              </w:rPr>
              <w:t xml:space="preserve">标准</w:t>
            </w:r>
            <w:r>
              <w:rPr>
                <w:rFonts w:hint="eastAsia" w:ascii="宋体" w:hAnsi="宋体" w:eastAsia="宋体" w:cs="宋体"/>
                <w:b/>
                <w:bCs/>
                <w:color w:val="000000"/>
                <w:sz w:val="21"/>
                <w:szCs w:val="21"/>
                <w:highlight w:val="none"/>
              </w:rPr>
            </w:r>
            <w:r/>
          </w:p>
        </w:tc>
      </w:tr>
      <w:tr>
        <w:trPr>
          <w:trHeight w:val="600"/>
        </w:trPr>
        <w:tc>
          <w:tcPr>
            <w:tcW w:w="565" w:type="dxa"/>
            <w:vAlign w:val="center"/>
            <w:vMerge w:val="restart"/>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bCs/>
                <w:color w:val="0f1115"/>
                <w:sz w:val="21"/>
                <w:szCs w:val="21"/>
                <w:highlight w:val="none"/>
                <w:shd w:val="clear" w:color="auto" w:fill="ffffff"/>
              </w:rPr>
              <w:t xml:space="preserve">系统运行质量</w:t>
            </w:r>
            <w:r>
              <w:rPr>
                <w:rFonts w:hint="eastAsia" w:ascii="宋体" w:hAnsi="宋体" w:eastAsia="宋体" w:cs="宋体"/>
                <w:color w:val="000000"/>
                <w:sz w:val="21"/>
                <w:szCs w:val="21"/>
                <w:highlight w:val="none"/>
              </w:rPr>
            </w:r>
            <w:r/>
          </w:p>
        </w:tc>
        <w:tc>
          <w:tcPr>
            <w:tcW w:w="389" w:type="dxa"/>
            <w:vAlign w:val="center"/>
            <w:textDirection w:val="lrTb"/>
            <w:noWrap w:val="false"/>
          </w:tcPr>
          <w:p>
            <w:pPr>
              <w:pStyle w:val="973"/>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994" w:type="dxa"/>
            <w:vAlign w:val="center"/>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系统年可用率</w:t>
            </w:r>
            <w:r>
              <w:rPr>
                <w:rFonts w:hint="eastAsia" w:ascii="宋体" w:hAnsi="宋体" w:eastAsia="宋体" w:cs="宋体"/>
                <w:color w:val="000000"/>
                <w:sz w:val="21"/>
                <w:szCs w:val="21"/>
                <w:highlight w:val="none"/>
              </w:rPr>
            </w:r>
            <w:r/>
          </w:p>
        </w:tc>
        <w:tc>
          <w:tcPr>
            <w:tcW w:w="2050" w:type="dxa"/>
            <w:vAlign w:val="center"/>
            <w:textDirection w:val="lrTb"/>
            <w:noWrap w:val="false"/>
          </w:tcPr>
          <w:p>
            <w:pPr>
              <w:pStyle w:val="973"/>
              <w:jc w:val="left"/>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ar"/>
              </w:rPr>
              <w:t xml:space="preserve">≥99.5%</w:t>
            </w:r>
            <w:r>
              <w:rPr>
                <w:rStyle w:val="1057"/>
                <w:rFonts w:hint="eastAsia" w:ascii="宋体" w:hAnsi="宋体" w:eastAsia="宋体" w:cs="宋体"/>
                <w:sz w:val="21"/>
                <w:szCs w:val="21"/>
                <w:highlight w:val="none"/>
                <w:lang w:bidi="ar"/>
              </w:rPr>
              <w:t xml:space="preserve">；</w:t>
            </w:r>
            <w:r>
              <w:rPr>
                <w:rFonts w:hint="eastAsia" w:ascii="宋体" w:hAnsi="宋体" w:eastAsia="宋体" w:cs="宋体"/>
                <w:b/>
                <w:bCs/>
                <w:color w:val="000000"/>
                <w:sz w:val="21"/>
                <w:szCs w:val="21"/>
                <w:highlight w:val="none"/>
              </w:rPr>
            </w:r>
            <w:r/>
          </w:p>
        </w:tc>
      </w:tr>
      <w:tr>
        <w:trPr>
          <w:trHeight w:val="660"/>
        </w:trPr>
        <w:tc>
          <w:tcPr>
            <w:tcW w:w="565" w:type="dxa"/>
            <w:vAlign w:val="center"/>
            <w:vMerge w:val="continue"/>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9" w:type="dxa"/>
            <w:vAlign w:val="center"/>
            <w:textDirection w:val="lrTb"/>
            <w:noWrap w:val="false"/>
          </w:tcPr>
          <w:p>
            <w:pPr>
              <w:pStyle w:val="973"/>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1994" w:type="dxa"/>
            <w:vAlign w:val="center"/>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页面加载时间</w:t>
            </w:r>
            <w:r>
              <w:rPr>
                <w:rFonts w:hint="eastAsia" w:ascii="宋体" w:hAnsi="宋体" w:eastAsia="宋体" w:cs="宋体"/>
                <w:color w:val="000000"/>
                <w:sz w:val="21"/>
                <w:szCs w:val="21"/>
                <w:highlight w:val="none"/>
              </w:rPr>
            </w:r>
            <w:r/>
          </w:p>
        </w:tc>
        <w:tc>
          <w:tcPr>
            <w:tcW w:w="2050" w:type="dxa"/>
            <w:vAlign w:val="center"/>
            <w:textDirection w:val="lrTb"/>
            <w:noWrap w:val="false"/>
          </w:tcPr>
          <w:p>
            <w:pPr>
              <w:pStyle w:val="973"/>
              <w:jc w:val="left"/>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ar"/>
              </w:rPr>
              <w:t xml:space="preserve">页面加载</w:t>
            </w:r>
            <w:r>
              <w:rPr>
                <w:rStyle w:val="1054"/>
                <w:rFonts w:hint="eastAsia" w:ascii="宋体" w:hAnsi="宋体" w:eastAsia="宋体" w:cs="宋体"/>
                <w:sz w:val="21"/>
                <w:szCs w:val="21"/>
                <w:highlight w:val="none"/>
                <w:lang w:bidi="ar"/>
              </w:rPr>
              <w:t xml:space="preserve">≤3</w:t>
            </w:r>
            <w:r>
              <w:rPr>
                <w:rStyle w:val="1057"/>
                <w:rFonts w:hint="eastAsia" w:ascii="宋体" w:hAnsi="宋体" w:eastAsia="宋体" w:cs="宋体"/>
                <w:sz w:val="21"/>
                <w:szCs w:val="21"/>
                <w:highlight w:val="none"/>
                <w:lang w:bidi="ar"/>
              </w:rPr>
              <w:t xml:space="preserve">秒（</w:t>
            </w:r>
            <w:r>
              <w:rPr>
                <w:rStyle w:val="1054"/>
                <w:rFonts w:hint="eastAsia" w:ascii="宋体" w:hAnsi="宋体" w:eastAsia="宋体" w:cs="宋体"/>
                <w:sz w:val="21"/>
                <w:szCs w:val="21"/>
                <w:highlight w:val="none"/>
                <w:lang w:bidi="ar"/>
              </w:rPr>
              <w:t xml:space="preserve">90%</w:t>
            </w:r>
            <w:r>
              <w:rPr>
                <w:rStyle w:val="1057"/>
                <w:rFonts w:hint="eastAsia" w:ascii="宋体" w:hAnsi="宋体" w:eastAsia="宋体" w:cs="宋体"/>
                <w:sz w:val="21"/>
                <w:szCs w:val="21"/>
                <w:highlight w:val="none"/>
                <w:lang w:bidi="ar"/>
              </w:rPr>
              <w:t xml:space="preserve">请求）；</w:t>
            </w:r>
            <w:r>
              <w:rPr>
                <w:rFonts w:hint="eastAsia" w:ascii="宋体" w:hAnsi="宋体" w:eastAsia="宋体" w:cs="宋体"/>
                <w:b/>
                <w:bCs/>
                <w:color w:val="000000"/>
                <w:sz w:val="21"/>
                <w:szCs w:val="21"/>
                <w:highlight w:val="none"/>
              </w:rPr>
            </w:r>
            <w:r/>
          </w:p>
        </w:tc>
      </w:tr>
      <w:tr>
        <w:trPr>
          <w:trHeight w:val="660"/>
        </w:trPr>
        <w:tc>
          <w:tcPr>
            <w:tcW w:w="565" w:type="dxa"/>
            <w:vAlign w:val="center"/>
            <w:vMerge w:val="continue"/>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9" w:type="dxa"/>
            <w:vAlign w:val="center"/>
            <w:textDirection w:val="lrTb"/>
            <w:noWrap w:val="false"/>
          </w:tcPr>
          <w:p>
            <w:pPr>
              <w:pStyle w:val="973"/>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1994" w:type="dxa"/>
            <w:vAlign w:val="center"/>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GIS地图加载时间</w:t>
            </w:r>
            <w:r>
              <w:rPr>
                <w:rFonts w:hint="eastAsia" w:ascii="宋体" w:hAnsi="宋体" w:eastAsia="宋体" w:cs="宋体"/>
                <w:color w:val="000000"/>
                <w:sz w:val="21"/>
                <w:szCs w:val="21"/>
                <w:highlight w:val="none"/>
              </w:rPr>
            </w:r>
            <w:r/>
          </w:p>
        </w:tc>
        <w:tc>
          <w:tcPr>
            <w:tcW w:w="2050" w:type="dxa"/>
            <w:vAlign w:val="center"/>
            <w:textDirection w:val="lrTb"/>
            <w:noWrap w:val="false"/>
          </w:tcPr>
          <w:p>
            <w:pPr>
              <w:pStyle w:val="973"/>
              <w:jc w:val="left"/>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ar"/>
              </w:rPr>
              <w:t xml:space="preserve">GIS</w:t>
            </w:r>
            <w:r>
              <w:rPr>
                <w:rStyle w:val="1057"/>
                <w:rFonts w:hint="eastAsia" w:ascii="宋体" w:hAnsi="宋体" w:eastAsia="宋体" w:cs="宋体"/>
                <w:sz w:val="21"/>
                <w:szCs w:val="21"/>
                <w:highlight w:val="none"/>
                <w:lang w:bidi="ar"/>
              </w:rPr>
              <w:t xml:space="preserve">地图加载</w:t>
            </w:r>
            <w:r>
              <w:rPr>
                <w:rStyle w:val="1054"/>
                <w:rFonts w:hint="eastAsia" w:ascii="宋体" w:hAnsi="宋体" w:eastAsia="宋体" w:cs="宋体"/>
                <w:sz w:val="21"/>
                <w:szCs w:val="21"/>
                <w:highlight w:val="none"/>
                <w:lang w:bidi="ar"/>
              </w:rPr>
              <w:t xml:space="preserve">≤2</w:t>
            </w:r>
            <w:r>
              <w:rPr>
                <w:rStyle w:val="1057"/>
                <w:rFonts w:hint="eastAsia" w:ascii="宋体" w:hAnsi="宋体" w:eastAsia="宋体" w:cs="宋体"/>
                <w:sz w:val="21"/>
                <w:szCs w:val="21"/>
                <w:highlight w:val="none"/>
                <w:lang w:bidi="ar"/>
              </w:rPr>
              <w:t xml:space="preserve">秒（</w:t>
            </w:r>
            <w:r>
              <w:rPr>
                <w:rStyle w:val="1054"/>
                <w:rFonts w:hint="eastAsia" w:ascii="宋体" w:hAnsi="宋体" w:eastAsia="宋体" w:cs="宋体"/>
                <w:sz w:val="21"/>
                <w:szCs w:val="21"/>
                <w:highlight w:val="none"/>
                <w:lang w:bidi="ar"/>
              </w:rPr>
              <w:t xml:space="preserve">90%</w:t>
            </w:r>
            <w:r>
              <w:rPr>
                <w:rStyle w:val="1057"/>
                <w:rFonts w:hint="eastAsia" w:ascii="宋体" w:hAnsi="宋体" w:eastAsia="宋体" w:cs="宋体"/>
                <w:sz w:val="21"/>
                <w:szCs w:val="21"/>
                <w:highlight w:val="none"/>
                <w:lang w:bidi="ar"/>
              </w:rPr>
              <w:t xml:space="preserve">请求）；</w:t>
            </w:r>
            <w:r>
              <w:rPr>
                <w:rFonts w:hint="eastAsia" w:ascii="宋体" w:hAnsi="宋体" w:eastAsia="宋体" w:cs="宋体"/>
                <w:color w:val="000000"/>
                <w:sz w:val="21"/>
                <w:szCs w:val="21"/>
                <w:highlight w:val="none"/>
              </w:rPr>
              <w:t xml:space="preserve"> </w:t>
            </w:r>
            <w:r>
              <w:rPr>
                <w:rFonts w:hint="eastAsia" w:ascii="宋体" w:hAnsi="宋体" w:eastAsia="宋体" w:cs="宋体"/>
                <w:b/>
                <w:bCs/>
                <w:color w:val="000000"/>
                <w:sz w:val="21"/>
                <w:szCs w:val="21"/>
                <w:highlight w:val="none"/>
              </w:rPr>
            </w:r>
            <w:r/>
          </w:p>
        </w:tc>
      </w:tr>
      <w:tr>
        <w:trPr>
          <w:trHeight w:val="660"/>
        </w:trPr>
        <w:tc>
          <w:tcPr>
            <w:tcW w:w="565" w:type="dxa"/>
            <w:vAlign w:val="center"/>
            <w:vMerge w:val="continue"/>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9" w:type="dxa"/>
            <w:vAlign w:val="center"/>
            <w:textDirection w:val="lrTb"/>
            <w:noWrap w:val="false"/>
          </w:tcPr>
          <w:p>
            <w:pPr>
              <w:pStyle w:val="973"/>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1994" w:type="dxa"/>
            <w:vAlign w:val="center"/>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预警推送延迟</w:t>
            </w:r>
            <w:r>
              <w:rPr>
                <w:rFonts w:hint="eastAsia" w:ascii="宋体" w:hAnsi="宋体" w:eastAsia="宋体" w:cs="宋体"/>
                <w:color w:val="000000"/>
                <w:sz w:val="21"/>
                <w:szCs w:val="21"/>
                <w:highlight w:val="none"/>
              </w:rPr>
            </w:r>
            <w:r/>
          </w:p>
        </w:tc>
        <w:tc>
          <w:tcPr>
            <w:tcW w:w="2050" w:type="dxa"/>
            <w:vAlign w:val="center"/>
            <w:textDirection w:val="lrTb"/>
            <w:noWrap w:val="false"/>
          </w:tcPr>
          <w:p>
            <w:pPr>
              <w:pStyle w:val="973"/>
              <w:jc w:val="left"/>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ar"/>
              </w:rPr>
              <w:t xml:space="preserve">从数据采集到预警推送</w:t>
            </w:r>
            <w:r>
              <w:rPr>
                <w:rStyle w:val="1054"/>
                <w:rFonts w:hint="eastAsia" w:ascii="宋体" w:hAnsi="宋体" w:eastAsia="宋体" w:cs="宋体"/>
                <w:sz w:val="21"/>
                <w:szCs w:val="21"/>
                <w:highlight w:val="none"/>
                <w:lang w:bidi="ar"/>
              </w:rPr>
              <w:t xml:space="preserve">≤30</w:t>
            </w:r>
            <w:r>
              <w:rPr>
                <w:rStyle w:val="1057"/>
                <w:rFonts w:hint="eastAsia" w:ascii="宋体" w:hAnsi="宋体" w:eastAsia="宋体" w:cs="宋体"/>
                <w:sz w:val="21"/>
                <w:szCs w:val="21"/>
                <w:highlight w:val="none"/>
                <w:lang w:bidi="ar"/>
              </w:rPr>
              <w:t xml:space="preserve">秒（</w:t>
            </w:r>
            <w:r>
              <w:rPr>
                <w:rStyle w:val="1054"/>
                <w:rFonts w:hint="eastAsia" w:ascii="宋体" w:hAnsi="宋体" w:eastAsia="宋体" w:cs="宋体"/>
                <w:sz w:val="21"/>
                <w:szCs w:val="21"/>
                <w:highlight w:val="none"/>
                <w:lang w:bidi="ar"/>
              </w:rPr>
              <w:t xml:space="preserve">95%</w:t>
            </w:r>
            <w:r>
              <w:rPr>
                <w:rStyle w:val="1057"/>
                <w:rFonts w:hint="eastAsia" w:ascii="宋体" w:hAnsi="宋体" w:eastAsia="宋体" w:cs="宋体"/>
                <w:sz w:val="21"/>
                <w:szCs w:val="21"/>
                <w:highlight w:val="none"/>
                <w:lang w:bidi="ar"/>
              </w:rPr>
              <w:t xml:space="preserve">事件）；</w:t>
            </w:r>
            <w:r>
              <w:rPr>
                <w:rFonts w:hint="eastAsia" w:ascii="宋体" w:hAnsi="宋体" w:eastAsia="宋体" w:cs="宋体"/>
                <w:color w:val="000000"/>
                <w:sz w:val="21"/>
                <w:szCs w:val="21"/>
                <w:highlight w:val="none"/>
              </w:rPr>
              <w:t xml:space="preserve"> </w:t>
            </w:r>
            <w:r>
              <w:rPr>
                <w:rFonts w:hint="eastAsia" w:ascii="宋体" w:hAnsi="宋体" w:eastAsia="宋体" w:cs="宋体"/>
                <w:b/>
                <w:bCs/>
                <w:color w:val="000000"/>
                <w:sz w:val="21"/>
                <w:szCs w:val="21"/>
                <w:highlight w:val="none"/>
              </w:rPr>
            </w:r>
            <w:r/>
          </w:p>
        </w:tc>
      </w:tr>
      <w:tr>
        <w:trPr>
          <w:trHeight w:val="642"/>
        </w:trPr>
        <w:tc>
          <w:tcPr>
            <w:tcW w:w="565" w:type="dxa"/>
            <w:vAlign w:val="center"/>
            <w:vMerge w:val="restart"/>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bCs/>
                <w:color w:val="0f1115"/>
                <w:sz w:val="21"/>
                <w:szCs w:val="21"/>
                <w:highlight w:val="none"/>
                <w:shd w:val="clear" w:color="auto" w:fill="ffffff"/>
              </w:rPr>
              <w:t xml:space="preserve">数据治理质量</w:t>
            </w:r>
            <w:r>
              <w:rPr>
                <w:rFonts w:hint="eastAsia" w:ascii="宋体" w:hAnsi="宋体" w:eastAsia="宋体" w:cs="宋体"/>
                <w:color w:val="000000"/>
                <w:sz w:val="21"/>
                <w:szCs w:val="21"/>
                <w:highlight w:val="none"/>
              </w:rPr>
            </w:r>
            <w:r/>
          </w:p>
        </w:tc>
        <w:tc>
          <w:tcPr>
            <w:tcW w:w="389" w:type="dxa"/>
            <w:vAlign w:val="center"/>
            <w:textDirection w:val="lrTb"/>
            <w:noWrap w:val="false"/>
          </w:tcPr>
          <w:p>
            <w:pPr>
              <w:pStyle w:val="973"/>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1994" w:type="dxa"/>
            <w:vAlign w:val="center"/>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核心字段准确率</w:t>
            </w:r>
            <w:r>
              <w:rPr>
                <w:rFonts w:hint="eastAsia" w:ascii="宋体" w:hAnsi="宋体" w:eastAsia="宋体" w:cs="宋体"/>
                <w:color w:val="000000"/>
                <w:sz w:val="21"/>
                <w:szCs w:val="21"/>
                <w:highlight w:val="none"/>
                <w:lang w:bidi="ar"/>
              </w:rPr>
            </w:r>
            <w:r/>
          </w:p>
        </w:tc>
        <w:tc>
          <w:tcPr>
            <w:tcW w:w="2050" w:type="dxa"/>
            <w:vAlign w:val="center"/>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≥99.37%；</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bidi="ar"/>
              </w:rPr>
            </w:r>
            <w:r/>
          </w:p>
        </w:tc>
      </w:tr>
      <w:tr>
        <w:trPr>
          <w:trHeight w:val="660"/>
        </w:trPr>
        <w:tc>
          <w:tcPr>
            <w:tcW w:w="565" w:type="dxa"/>
            <w:vAlign w:val="center"/>
            <w:vMerge w:val="continue"/>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9" w:type="dxa"/>
            <w:vAlign w:val="center"/>
            <w:textDirection w:val="lrTb"/>
            <w:noWrap w:val="false"/>
          </w:tcPr>
          <w:p>
            <w:pPr>
              <w:pStyle w:val="973"/>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1994" w:type="dxa"/>
            <w:vAlign w:val="center"/>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数据更新及时性</w:t>
            </w:r>
            <w:r>
              <w:rPr>
                <w:rFonts w:hint="eastAsia" w:ascii="宋体" w:hAnsi="宋体" w:eastAsia="宋体" w:cs="宋体"/>
                <w:color w:val="000000"/>
                <w:sz w:val="21"/>
                <w:szCs w:val="21"/>
                <w:highlight w:val="none"/>
                <w:lang w:bidi="ar"/>
              </w:rPr>
            </w:r>
            <w:r/>
          </w:p>
        </w:tc>
        <w:tc>
          <w:tcPr>
            <w:tcW w:w="2050" w:type="dxa"/>
            <w:vAlign w:val="center"/>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按预设频率完成更新</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bidi="ar"/>
              </w:rPr>
            </w:r>
            <w:r/>
          </w:p>
        </w:tc>
      </w:tr>
      <w:tr>
        <w:trPr>
          <w:trHeight w:val="660"/>
        </w:trPr>
        <w:tc>
          <w:tcPr>
            <w:tcW w:w="565" w:type="dxa"/>
            <w:vAlign w:val="center"/>
            <w:vMerge w:val="restart"/>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bCs/>
                <w:color w:val="0f1115"/>
                <w:sz w:val="21"/>
                <w:szCs w:val="21"/>
                <w:highlight w:val="none"/>
                <w:shd w:val="clear" w:color="auto" w:fill="ffffff"/>
              </w:rPr>
              <w:t xml:space="preserve">硬件运行质量</w:t>
            </w:r>
            <w:r>
              <w:rPr>
                <w:rFonts w:hint="eastAsia" w:ascii="宋体" w:hAnsi="宋体" w:eastAsia="宋体" w:cs="宋体"/>
                <w:color w:val="000000"/>
                <w:sz w:val="21"/>
                <w:szCs w:val="21"/>
                <w:highlight w:val="none"/>
              </w:rPr>
            </w:r>
            <w:r/>
          </w:p>
        </w:tc>
        <w:tc>
          <w:tcPr>
            <w:tcW w:w="389" w:type="dxa"/>
            <w:vAlign w:val="center"/>
            <w:textDirection w:val="lrTb"/>
            <w:noWrap w:val="false"/>
          </w:tcPr>
          <w:p>
            <w:pPr>
              <w:pStyle w:val="973"/>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val="en-US" w:eastAsia="zh-CN" w:bidi="ar"/>
              </w:rPr>
            </w:r>
            <w:r/>
          </w:p>
        </w:tc>
        <w:tc>
          <w:tcPr>
            <w:tcW w:w="1994" w:type="dxa"/>
            <w:vAlign w:val="center"/>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液位计在线率</w:t>
            </w:r>
            <w:r>
              <w:rPr>
                <w:rFonts w:hint="eastAsia" w:ascii="宋体" w:hAnsi="宋体" w:eastAsia="宋体" w:cs="宋体"/>
                <w:color w:val="000000"/>
                <w:sz w:val="21"/>
                <w:szCs w:val="21"/>
                <w:highlight w:val="none"/>
                <w:lang w:bidi="ar"/>
              </w:rPr>
            </w:r>
            <w:r/>
          </w:p>
        </w:tc>
        <w:tc>
          <w:tcPr>
            <w:tcW w:w="2050" w:type="dxa"/>
            <w:vAlign w:val="center"/>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bidi="ar"/>
              </w:rPr>
            </w:r>
            <w:r/>
          </w:p>
        </w:tc>
      </w:tr>
      <w:tr>
        <w:trPr>
          <w:trHeight w:val="660"/>
        </w:trPr>
        <w:tc>
          <w:tcPr>
            <w:tcW w:w="565" w:type="dxa"/>
            <w:vAlign w:val="center"/>
            <w:vMerge w:val="continue"/>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9" w:type="dxa"/>
            <w:vAlign w:val="center"/>
            <w:textDirection w:val="lrTb"/>
            <w:noWrap w:val="false"/>
          </w:tcPr>
          <w:p>
            <w:pPr>
              <w:pStyle w:val="973"/>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1994" w:type="dxa"/>
            <w:vAlign w:val="center"/>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COD分析仪在线率</w:t>
            </w:r>
            <w:r>
              <w:rPr>
                <w:rFonts w:hint="eastAsia" w:ascii="宋体" w:hAnsi="宋体" w:eastAsia="宋体" w:cs="宋体"/>
                <w:color w:val="000000"/>
                <w:sz w:val="21"/>
                <w:szCs w:val="21"/>
                <w:highlight w:val="none"/>
                <w:lang w:bidi="ar"/>
              </w:rPr>
            </w:r>
            <w:r/>
          </w:p>
        </w:tc>
        <w:tc>
          <w:tcPr>
            <w:tcW w:w="2050" w:type="dxa"/>
            <w:vAlign w:val="center"/>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bidi="ar"/>
              </w:rPr>
            </w:r>
            <w:r/>
          </w:p>
        </w:tc>
      </w:tr>
      <w:tr>
        <w:trPr>
          <w:trHeight w:val="660"/>
        </w:trPr>
        <w:tc>
          <w:tcPr>
            <w:tcW w:w="565" w:type="dxa"/>
            <w:vAlign w:val="center"/>
            <w:vMerge w:val="continue"/>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9" w:type="dxa"/>
            <w:vAlign w:val="center"/>
            <w:textDirection w:val="lrTb"/>
            <w:noWrap w:val="false"/>
          </w:tcPr>
          <w:p>
            <w:pPr>
              <w:pStyle w:val="973"/>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val="en-US" w:eastAsia="zh-CN" w:bidi="ar"/>
              </w:rPr>
            </w:r>
            <w:r/>
          </w:p>
        </w:tc>
        <w:tc>
          <w:tcPr>
            <w:tcW w:w="1994" w:type="dxa"/>
            <w:vAlign w:val="center"/>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设备故障修复记录</w:t>
            </w:r>
            <w:r>
              <w:rPr>
                <w:rFonts w:hint="eastAsia" w:ascii="宋体" w:hAnsi="宋体" w:eastAsia="宋体" w:cs="宋体"/>
                <w:color w:val="000000"/>
                <w:sz w:val="21"/>
                <w:szCs w:val="21"/>
                <w:highlight w:val="none"/>
                <w:lang w:bidi="ar"/>
              </w:rPr>
            </w:r>
            <w:r/>
          </w:p>
        </w:tc>
        <w:tc>
          <w:tcPr>
            <w:tcW w:w="2050" w:type="dxa"/>
            <w:vAlign w:val="center"/>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平台自动记录每次维修，形成设备档案</w:t>
            </w:r>
            <w:r>
              <w:rPr>
                <w:rFonts w:hint="eastAsia" w:ascii="宋体" w:hAnsi="宋体" w:eastAsia="宋体" w:cs="宋体"/>
                <w:color w:val="000000"/>
                <w:sz w:val="21"/>
                <w:szCs w:val="21"/>
                <w:highlight w:val="none"/>
                <w:lang w:bidi="ar"/>
              </w:rPr>
            </w:r>
            <w:r/>
          </w:p>
        </w:tc>
      </w:tr>
      <w:tr>
        <w:trPr>
          <w:trHeight w:val="660"/>
        </w:trPr>
        <w:tc>
          <w:tcPr>
            <w:tcW w:w="565" w:type="dxa"/>
            <w:vAlign w:val="center"/>
            <w:vMerge w:val="restart"/>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bCs/>
                <w:color w:val="0f1115"/>
                <w:sz w:val="21"/>
                <w:szCs w:val="21"/>
                <w:highlight w:val="none"/>
                <w:shd w:val="clear" w:color="auto" w:fill="ffffff"/>
              </w:rPr>
              <w:t xml:space="preserve">业务目标达成</w:t>
            </w:r>
            <w:r>
              <w:rPr>
                <w:rFonts w:hint="eastAsia" w:ascii="宋体" w:hAnsi="宋体" w:eastAsia="宋体" w:cs="宋体"/>
                <w:color w:val="000000"/>
                <w:sz w:val="21"/>
                <w:szCs w:val="21"/>
                <w:highlight w:val="none"/>
              </w:rPr>
            </w:r>
            <w:r/>
          </w:p>
        </w:tc>
        <w:tc>
          <w:tcPr>
            <w:tcW w:w="389" w:type="dxa"/>
            <w:vAlign w:val="center"/>
            <w:textDirection w:val="lrTb"/>
            <w:noWrap w:val="false"/>
          </w:tcPr>
          <w:p>
            <w:pPr>
              <w:pStyle w:val="973"/>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1994" w:type="dxa"/>
            <w:vAlign w:val="center"/>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第一年:基础建设期:建标准、布试点感知、积累基础数据</w:t>
            </w:r>
            <w:r>
              <w:rPr>
                <w:rFonts w:hint="eastAsia" w:ascii="宋体" w:hAnsi="宋体" w:eastAsia="宋体" w:cs="宋体"/>
                <w:color w:val="000000"/>
                <w:sz w:val="21"/>
                <w:szCs w:val="21"/>
                <w:highlight w:val="none"/>
                <w:lang w:bidi="ar"/>
              </w:rPr>
            </w:r>
            <w:r/>
          </w:p>
        </w:tc>
        <w:tc>
          <w:tcPr>
            <w:tcW w:w="2050" w:type="dxa"/>
            <w:vAlign w:val="center"/>
            <w:vMerge w:val="restart"/>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rPr>
              <w:t xml:space="preserve">考核小组整体评价，具体要求详见附件：《排水智能化系统运维项目》三年落地实施规划</w:t>
            </w:r>
            <w:r>
              <w:rPr>
                <w:rFonts w:hint="eastAsia" w:ascii="宋体" w:hAnsi="宋体" w:eastAsia="宋体" w:cs="宋体"/>
                <w:color w:val="000000"/>
                <w:sz w:val="21"/>
                <w:szCs w:val="21"/>
                <w:highlight w:val="none"/>
                <w:lang w:bidi="ar"/>
              </w:rPr>
            </w:r>
            <w:r/>
          </w:p>
        </w:tc>
      </w:tr>
      <w:tr>
        <w:trPr>
          <w:trHeight w:val="660"/>
        </w:trPr>
        <w:tc>
          <w:tcPr>
            <w:tcW w:w="565" w:type="dxa"/>
            <w:vAlign w:val="center"/>
            <w:vMerge w:val="continue"/>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9" w:type="dxa"/>
            <w:vAlign w:val="center"/>
            <w:textDirection w:val="lrTb"/>
            <w:noWrap w:val="false"/>
          </w:tcPr>
          <w:p>
            <w:pPr>
              <w:pStyle w:val="973"/>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w:t>
            </w:r>
            <w:r>
              <w:rPr>
                <w:rFonts w:hint="eastAsia" w:ascii="宋体" w:hAnsi="宋体" w:eastAsia="宋体" w:cs="宋体"/>
                <w:color w:val="000000"/>
                <w:sz w:val="21"/>
                <w:szCs w:val="21"/>
                <w:highlight w:val="none"/>
                <w:lang w:val="en-US" w:eastAsia="zh-CN" w:bidi="ar"/>
              </w:rPr>
            </w:r>
            <w:r/>
          </w:p>
        </w:tc>
        <w:tc>
          <w:tcPr>
            <w:tcW w:w="1994" w:type="dxa"/>
            <w:vAlign w:val="center"/>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第二年:深化应用期:</w:t>
            </w:r>
            <w:r>
              <w:rPr>
                <w:rFonts w:hint="eastAsia" w:ascii="宋体" w:hAnsi="宋体" w:eastAsia="宋体" w:cs="宋体"/>
                <w:color w:val="000000"/>
                <w:sz w:val="21"/>
                <w:szCs w:val="21"/>
                <w:highlight w:val="none"/>
                <w:lang w:val="en-US" w:eastAsia="zh-CN" w:bidi="ar"/>
              </w:rPr>
              <w:t xml:space="preserve">现场</w:t>
            </w:r>
            <w:r>
              <w:rPr>
                <w:rFonts w:hint="eastAsia" w:ascii="宋体" w:hAnsi="宋体" w:eastAsia="宋体" w:cs="宋体"/>
                <w:color w:val="000000"/>
                <w:sz w:val="21"/>
                <w:szCs w:val="21"/>
                <w:highlight w:val="none"/>
                <w:lang w:bidi="ar"/>
              </w:rPr>
              <w:t xml:space="preserve">感知、闭环监测、模型试跑</w:t>
            </w:r>
            <w:r>
              <w:rPr>
                <w:rFonts w:hint="eastAsia" w:ascii="宋体" w:hAnsi="宋体" w:eastAsia="宋体" w:cs="宋体"/>
                <w:color w:val="000000"/>
                <w:sz w:val="21"/>
                <w:szCs w:val="21"/>
                <w:highlight w:val="none"/>
                <w:lang w:bidi="ar"/>
              </w:rPr>
            </w:r>
            <w:r/>
          </w:p>
        </w:tc>
        <w:tc>
          <w:tcPr>
            <w:tcW w:w="2050" w:type="dxa"/>
            <w:vAlign w:val="center"/>
            <w:vMerge w:val="continue"/>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660"/>
        </w:trPr>
        <w:tc>
          <w:tcPr>
            <w:tcW w:w="565" w:type="dxa"/>
            <w:vAlign w:val="center"/>
            <w:vMerge w:val="continue"/>
            <w:textDirection w:val="lrTb"/>
            <w:noWrap w:val="false"/>
          </w:tcPr>
          <w:p>
            <w:pPr>
              <w:pStyle w:val="9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9" w:type="dxa"/>
            <w:vAlign w:val="center"/>
            <w:textDirection w:val="lrTb"/>
            <w:noWrap w:val="false"/>
          </w:tcPr>
          <w:p>
            <w:pPr>
              <w:pStyle w:val="973"/>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w:t>
            </w:r>
            <w:r>
              <w:rPr>
                <w:rFonts w:hint="eastAsia" w:ascii="宋体" w:hAnsi="宋体" w:eastAsia="宋体" w:cs="宋体"/>
                <w:color w:val="000000"/>
                <w:sz w:val="21"/>
                <w:szCs w:val="21"/>
                <w:highlight w:val="none"/>
                <w:lang w:val="en-US" w:eastAsia="zh-CN" w:bidi="ar"/>
              </w:rPr>
            </w:r>
            <w:r/>
          </w:p>
        </w:tc>
        <w:tc>
          <w:tcPr>
            <w:tcW w:w="1994" w:type="dxa"/>
            <w:vAlign w:val="center"/>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第三年:应用成熟期:算法优化、智能决策、数据赋能</w:t>
            </w:r>
            <w:r>
              <w:rPr>
                <w:rFonts w:hint="eastAsia" w:ascii="宋体" w:hAnsi="宋体" w:eastAsia="宋体" w:cs="宋体"/>
                <w:color w:val="000000"/>
                <w:sz w:val="21"/>
                <w:szCs w:val="21"/>
                <w:highlight w:val="none"/>
                <w:lang w:bidi="ar"/>
              </w:rPr>
            </w:r>
            <w:r/>
          </w:p>
        </w:tc>
        <w:tc>
          <w:tcPr>
            <w:tcW w:w="2050" w:type="dxa"/>
            <w:vAlign w:val="center"/>
            <w:vMerge w:val="continue"/>
            <w:textDirection w:val="lrTb"/>
            <w:noWrap w:val="false"/>
          </w:tcPr>
          <w:p>
            <w:pPr>
              <w:pStyle w:val="973"/>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bl>
    <w:p>
      <w:pPr>
        <w:pStyle w:val="973"/>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8"/>
        <w:spacing w:line="360" w:lineRule="auto"/>
        <w:widowControl/>
        <w:rPr>
          <w:rFonts w:hint="eastAsia" w:ascii="宋体" w:hAnsi="宋体" w:eastAsia="宋体" w:cs="宋体"/>
          <w:sz w:val="21"/>
          <w:szCs w:val="21"/>
          <w:highlight w:val="none"/>
        </w:rPr>
        <w:outlineLvl w:val="0"/>
      </w:pPr>
      <w:r>
        <w:rPr>
          <w:rFonts w:hint="eastAsia" w:ascii="宋体" w:hAnsi="宋体" w:eastAsia="宋体" w:cs="宋体"/>
          <w:b/>
          <w:bCs/>
          <w:color w:val="0f1115"/>
          <w:sz w:val="21"/>
          <w:szCs w:val="21"/>
          <w:highlight w:val="none"/>
          <w:shd w:val="clear" w:color="auto" w:fill="ffffff"/>
        </w:rPr>
        <w:t xml:space="preserve">第五条 考核流程与支付挂钩</w:t>
      </w:r>
      <w:r>
        <w:rPr>
          <w:rFonts w:hint="eastAsia" w:ascii="宋体" w:hAnsi="宋体" w:eastAsia="宋体" w:cs="宋体"/>
          <w:sz w:val="21"/>
          <w:szCs w:val="21"/>
          <w:highlight w:val="none"/>
        </w:rPr>
      </w:r>
      <w:r/>
    </w:p>
    <w:p>
      <w:pPr>
        <w:pStyle w:val="998"/>
        <w:numPr>
          <w:ilvl w:val="0"/>
          <w:numId w:val="8"/>
        </w:numPr>
        <w:spacing w:line="360" w:lineRule="auto"/>
        <w:widowControl/>
        <w:rPr>
          <w:rFonts w:hint="eastAsia" w:ascii="宋体" w:hAnsi="宋体" w:eastAsia="宋体" w:cs="宋体"/>
          <w:sz w:val="21"/>
          <w:szCs w:val="21"/>
          <w:highlight w:val="none"/>
        </w:rPr>
      </w:pPr>
      <w:r>
        <w:rPr>
          <w:rFonts w:hint="eastAsia" w:ascii="宋体" w:hAnsi="宋体" w:eastAsia="宋体" w:cs="宋体"/>
          <w:b/>
          <w:bCs/>
          <w:color w:val="0f1115"/>
          <w:sz w:val="21"/>
          <w:szCs w:val="21"/>
          <w:highlight w:val="none"/>
          <w:shd w:val="clear" w:color="auto" w:fill="ffffff"/>
        </w:rPr>
        <w:t xml:space="preserve">数据提取与初评</w:t>
      </w:r>
      <w:r>
        <w:rPr>
          <w:rFonts w:hint="eastAsia" w:ascii="宋体" w:hAnsi="宋体" w:eastAsia="宋体" w:cs="宋体"/>
          <w:color w:val="0f1115"/>
          <w:sz w:val="21"/>
          <w:szCs w:val="21"/>
          <w:highlight w:val="none"/>
          <w:shd w:val="clear" w:color="auto" w:fill="ffffff"/>
        </w:rPr>
        <w:t xml:space="preserve">：每个考核年度结束后第1-5个工作日，乙方从系统中依据本方案第四条的规则，提取并整理各项考核指标的年度统计数据和支撑日志，形成《年度服务考核自评报告》，提交给甲方。</w:t>
      </w:r>
      <w:r>
        <w:rPr>
          <w:rFonts w:hint="eastAsia" w:ascii="宋体" w:hAnsi="宋体" w:eastAsia="宋体" w:cs="宋体"/>
          <w:sz w:val="21"/>
          <w:szCs w:val="21"/>
          <w:highlight w:val="none"/>
        </w:rPr>
      </w:r>
      <w:r/>
    </w:p>
    <w:p>
      <w:pPr>
        <w:pStyle w:val="998"/>
        <w:numPr>
          <w:ilvl w:val="0"/>
          <w:numId w:val="8"/>
        </w:numPr>
        <w:spacing w:line="360" w:lineRule="auto"/>
        <w:widowControl/>
        <w:rPr>
          <w:rFonts w:hint="eastAsia" w:ascii="宋体" w:hAnsi="宋体" w:eastAsia="宋体" w:cs="宋体"/>
          <w:sz w:val="21"/>
          <w:szCs w:val="21"/>
          <w:highlight w:val="none"/>
        </w:rPr>
      </w:pPr>
      <w:r>
        <w:rPr>
          <w:rFonts w:hint="eastAsia" w:ascii="宋体" w:hAnsi="宋体" w:eastAsia="宋体" w:cs="宋体"/>
          <w:b/>
          <w:bCs/>
          <w:color w:val="0f1115"/>
          <w:sz w:val="21"/>
          <w:szCs w:val="21"/>
          <w:highlight w:val="none"/>
          <w:shd w:val="clear" w:color="auto" w:fill="ffffff"/>
        </w:rPr>
        <w:t xml:space="preserve">甲方复核与确认</w:t>
      </w:r>
      <w:r>
        <w:rPr>
          <w:rFonts w:hint="eastAsia" w:ascii="宋体" w:hAnsi="宋体" w:eastAsia="宋体" w:cs="宋体"/>
          <w:color w:val="0f1115"/>
          <w:sz w:val="21"/>
          <w:szCs w:val="21"/>
          <w:highlight w:val="none"/>
          <w:shd w:val="clear" w:color="auto" w:fill="ffffff"/>
        </w:rPr>
        <w:t xml:space="preserve">：甲方在收到报告后10个工作日内，对报告中的数据、日志和结果进行复核。甲方有权登录系统对任何数据进行追溯和验证。如对数据无异议，则确认最终</w:t>
      </w:r>
      <w:r>
        <w:rPr>
          <w:rFonts w:hint="eastAsia" w:ascii="宋体" w:hAnsi="宋体" w:eastAsia="宋体" w:cs="宋体"/>
          <w:color w:val="0f1115"/>
          <w:sz w:val="21"/>
          <w:szCs w:val="21"/>
          <w:highlight w:val="none"/>
          <w:shd w:val="clear" w:color="auto" w:fill="ffffff"/>
          <w:lang w:val="en-US" w:eastAsia="zh-CN"/>
        </w:rPr>
        <w:t xml:space="preserve">考核结果</w:t>
      </w:r>
      <w:r>
        <w:rPr>
          <w:rFonts w:hint="eastAsia" w:ascii="宋体" w:hAnsi="宋体" w:eastAsia="宋体" w:cs="宋体"/>
          <w:color w:val="0f1115"/>
          <w:sz w:val="21"/>
          <w:szCs w:val="21"/>
          <w:highlight w:val="none"/>
          <w:shd w:val="clear" w:color="auto" w:fill="ffffff"/>
        </w:rPr>
        <w:t xml:space="preserve">；如有异议，甲乙双方应共同对异议数据进行核查，以系统原始记录为准。</w:t>
      </w:r>
      <w:r>
        <w:rPr>
          <w:rFonts w:hint="eastAsia" w:ascii="宋体" w:hAnsi="宋体" w:eastAsia="宋体" w:cs="宋体"/>
          <w:sz w:val="21"/>
          <w:szCs w:val="21"/>
          <w:highlight w:val="none"/>
        </w:rPr>
      </w:r>
      <w:r/>
    </w:p>
    <w:p>
      <w:pPr>
        <w:pStyle w:val="998"/>
        <w:numPr>
          <w:ilvl w:val="0"/>
          <w:numId w:val="8"/>
        </w:numPr>
        <w:spacing w:line="360" w:lineRule="auto"/>
        <w:widowControl/>
        <w:rPr>
          <w:rFonts w:hint="eastAsia" w:ascii="宋体" w:hAnsi="宋体" w:eastAsia="宋体" w:cs="宋体"/>
          <w:sz w:val="21"/>
          <w:szCs w:val="21"/>
          <w:highlight w:val="none"/>
        </w:rPr>
      </w:pPr>
      <w:r>
        <w:rPr>
          <w:rFonts w:hint="eastAsia" w:ascii="宋体" w:hAnsi="宋体" w:eastAsia="宋体" w:cs="宋体"/>
          <w:b/>
          <w:bCs/>
          <w:color w:val="0f1115"/>
          <w:sz w:val="21"/>
          <w:szCs w:val="21"/>
          <w:highlight w:val="none"/>
          <w:shd w:val="clear" w:color="auto" w:fill="ffffff"/>
        </w:rPr>
        <w:t xml:space="preserve">支付执行</w:t>
      </w:r>
      <w:r>
        <w:rPr>
          <w:rFonts w:hint="eastAsia" w:ascii="宋体" w:hAnsi="宋体" w:eastAsia="宋体" w:cs="宋体"/>
          <w:color w:val="0f1115"/>
          <w:sz w:val="21"/>
          <w:szCs w:val="21"/>
          <w:highlight w:val="none"/>
          <w:shd w:val="clear" w:color="auto" w:fill="ffffff"/>
        </w:rPr>
        <w:t xml:space="preserve">：甲方在确认考核结果并收到乙方开具的符合合同约定的发票后，按照</w:t>
      </w:r>
      <w:r>
        <w:rPr>
          <w:rFonts w:hint="eastAsia" w:ascii="宋体" w:hAnsi="宋体" w:eastAsia="宋体" w:cs="宋体"/>
          <w:color w:val="0f1115"/>
          <w:sz w:val="21"/>
          <w:szCs w:val="21"/>
          <w:highlight w:val="none"/>
          <w:shd w:val="clear" w:color="auto" w:fill="ffffff"/>
          <w:lang w:val="en-US" w:eastAsia="zh-CN"/>
        </w:rPr>
        <w:t xml:space="preserve">合同约定的</w:t>
      </w:r>
      <w:r>
        <w:rPr>
          <w:rFonts w:hint="eastAsia" w:ascii="宋体" w:hAnsi="宋体" w:eastAsia="宋体" w:cs="宋体"/>
          <w:color w:val="0f1115"/>
          <w:sz w:val="21"/>
          <w:szCs w:val="21"/>
          <w:highlight w:val="none"/>
          <w:shd w:val="clear" w:color="auto" w:fill="ffffff"/>
        </w:rPr>
        <w:t xml:space="preserve">支付比例，在15个工作日内完成当年度服务费用的支付。</w:t>
      </w:r>
      <w:r>
        <w:rPr>
          <w:rFonts w:hint="eastAsia" w:ascii="宋体" w:hAnsi="宋体" w:eastAsia="宋体" w:cs="宋体"/>
          <w:sz w:val="21"/>
          <w:szCs w:val="21"/>
          <w:highlight w:val="none"/>
        </w:rPr>
      </w:r>
      <w:r/>
    </w:p>
    <w:p>
      <w:pPr>
        <w:pStyle w:val="998"/>
        <w:spacing w:line="360" w:lineRule="auto"/>
        <w:widowControl/>
        <w:rPr>
          <w:rFonts w:hint="eastAsia" w:ascii="宋体" w:hAnsi="宋体" w:eastAsia="宋体" w:cs="宋体"/>
          <w:sz w:val="21"/>
          <w:szCs w:val="21"/>
          <w:highlight w:val="none"/>
        </w:rPr>
        <w:outlineLvl w:val="0"/>
      </w:pPr>
      <w:r>
        <w:rPr>
          <w:rFonts w:hint="eastAsia" w:ascii="宋体" w:hAnsi="宋体" w:eastAsia="宋体" w:cs="宋体"/>
          <w:b/>
          <w:bCs/>
          <w:color w:val="0f1115"/>
          <w:sz w:val="21"/>
          <w:szCs w:val="21"/>
          <w:highlight w:val="none"/>
          <w:shd w:val="clear" w:color="auto" w:fill="ffffff"/>
        </w:rPr>
        <w:t xml:space="preserve">第六条 附则</w:t>
      </w:r>
      <w:r>
        <w:rPr>
          <w:rFonts w:hint="eastAsia" w:ascii="宋体" w:hAnsi="宋体" w:eastAsia="宋体" w:cs="宋体"/>
          <w:sz w:val="21"/>
          <w:szCs w:val="21"/>
          <w:highlight w:val="none"/>
        </w:rPr>
      </w:r>
      <w:r/>
    </w:p>
    <w:p>
      <w:pPr>
        <w:pStyle w:val="998"/>
        <w:numPr>
          <w:ilvl w:val="0"/>
          <w:numId w:val="9"/>
        </w:numPr>
        <w:spacing w:line="360" w:lineRule="auto"/>
        <w:widowControl/>
        <w:rPr>
          <w:rFonts w:hint="eastAsia" w:ascii="宋体" w:hAnsi="宋体" w:eastAsia="宋体" w:cs="宋体"/>
          <w:sz w:val="21"/>
          <w:szCs w:val="21"/>
          <w:highlight w:val="none"/>
        </w:rPr>
      </w:pPr>
      <w:r>
        <w:rPr>
          <w:rFonts w:hint="eastAsia" w:ascii="宋体" w:hAnsi="宋体" w:eastAsia="宋体" w:cs="宋体"/>
          <w:color w:val="0f1115"/>
          <w:sz w:val="21"/>
          <w:szCs w:val="21"/>
          <w:highlight w:val="none"/>
          <w:shd w:val="clear" w:color="auto" w:fill="ffffff"/>
        </w:rPr>
        <w:t xml:space="preserve">本方案作为原合同附件，与原合同具有同等法律效力。</w:t>
      </w:r>
      <w:r>
        <w:rPr>
          <w:rFonts w:hint="eastAsia" w:ascii="宋体" w:hAnsi="宋体" w:eastAsia="宋体" w:cs="宋体"/>
          <w:sz w:val="21"/>
          <w:szCs w:val="21"/>
          <w:highlight w:val="none"/>
        </w:rPr>
      </w:r>
      <w:r/>
    </w:p>
    <w:p>
      <w:pPr>
        <w:pStyle w:val="998"/>
        <w:numPr>
          <w:ilvl w:val="0"/>
          <w:numId w:val="9"/>
        </w:numPr>
        <w:spacing w:line="360" w:lineRule="auto"/>
        <w:widowControl/>
        <w:rPr>
          <w:rFonts w:hint="eastAsia" w:ascii="宋体" w:hAnsi="宋体" w:eastAsia="宋体" w:cs="宋体"/>
          <w:sz w:val="21"/>
          <w:szCs w:val="21"/>
          <w:highlight w:val="none"/>
        </w:rPr>
      </w:pPr>
      <w:r>
        <w:rPr>
          <w:rFonts w:hint="eastAsia" w:ascii="宋体" w:hAnsi="宋体" w:eastAsia="宋体" w:cs="宋体"/>
          <w:color w:val="0f1115"/>
          <w:sz w:val="21"/>
          <w:szCs w:val="21"/>
          <w:highlight w:val="none"/>
          <w:shd w:val="clear" w:color="auto" w:fill="ffffff"/>
        </w:rPr>
        <w:t xml:space="preserve">本方案中涉及的各项数据采集和统计功能，均要求乙方在本项目系统建设期内完成开发部署，确保系统上线即具备完整的考核数据自动生成能力。</w:t>
      </w:r>
      <w:r>
        <w:rPr>
          <w:rFonts w:hint="eastAsia" w:ascii="宋体" w:hAnsi="宋体" w:eastAsia="宋体" w:cs="宋体"/>
          <w:sz w:val="21"/>
          <w:szCs w:val="21"/>
          <w:highlight w:val="none"/>
        </w:rPr>
      </w:r>
      <w:r/>
    </w:p>
    <w:p>
      <w:pPr>
        <w:pStyle w:val="998"/>
        <w:numPr>
          <w:ilvl w:val="0"/>
          <w:numId w:val="9"/>
        </w:numPr>
        <w:spacing w:line="360" w:lineRule="auto"/>
        <w:widowControl/>
        <w:rPr>
          <w:rFonts w:hint="eastAsia" w:ascii="宋体" w:hAnsi="宋体" w:eastAsia="宋体" w:cs="宋体"/>
          <w:sz w:val="21"/>
          <w:szCs w:val="21"/>
          <w:highlight w:val="none"/>
        </w:rPr>
      </w:pPr>
      <w:r>
        <w:rPr>
          <w:rFonts w:hint="eastAsia" w:ascii="宋体" w:hAnsi="宋体" w:eastAsia="宋体" w:cs="宋体"/>
          <w:color w:val="0f1115"/>
          <w:sz w:val="21"/>
          <w:szCs w:val="21"/>
          <w:highlight w:val="none"/>
          <w:shd w:val="clear" w:color="auto" w:fill="ffffff"/>
        </w:rPr>
        <w:t xml:space="preserve">在本项目运营服务期内，甲乙双方可根据国家政策法规变化、实际业务需求调整等情况，经协商一致后，对本方案中的考核</w:t>
      </w:r>
      <w:r>
        <w:rPr>
          <w:rFonts w:hint="eastAsia" w:ascii="宋体" w:hAnsi="宋体" w:eastAsia="宋体" w:cs="宋体"/>
          <w:color w:val="0f1115"/>
          <w:sz w:val="21"/>
          <w:szCs w:val="21"/>
          <w:highlight w:val="none"/>
          <w:shd w:val="clear" w:color="auto" w:fill="ffffff"/>
          <w:lang w:val="en-US" w:eastAsia="zh-CN"/>
        </w:rPr>
        <w:t xml:space="preserve">指标</w:t>
      </w:r>
      <w:r>
        <w:rPr>
          <w:rFonts w:hint="eastAsia" w:ascii="宋体" w:hAnsi="宋体" w:eastAsia="宋体" w:cs="宋体"/>
          <w:color w:val="0f1115"/>
          <w:sz w:val="21"/>
          <w:szCs w:val="21"/>
          <w:highlight w:val="none"/>
          <w:shd w:val="clear" w:color="auto" w:fill="ffffff"/>
        </w:rPr>
        <w:t xml:space="preserve">进行书面修改，修改后的内容作为补充协议，具有同等效力。</w:t>
      </w:r>
      <w:r>
        <w:rPr>
          <w:rFonts w:hint="eastAsia" w:ascii="宋体" w:hAnsi="宋体" w:eastAsia="宋体" w:cs="宋体"/>
          <w:sz w:val="21"/>
          <w:szCs w:val="21"/>
          <w:highlight w:val="none"/>
        </w:rPr>
      </w:r>
      <w:r/>
    </w:p>
    <w:p>
      <w:pPr>
        <w:pStyle w:val="998"/>
        <w:numPr>
          <w:ilvl w:val="0"/>
          <w:numId w:val="9"/>
        </w:numPr>
        <w:spacing w:line="360" w:lineRule="auto"/>
        <w:widowControl/>
        <w:rPr>
          <w:rFonts w:hint="eastAsia" w:ascii="宋体" w:hAnsi="宋体" w:eastAsia="宋体" w:cs="宋体"/>
          <w:sz w:val="21"/>
          <w:szCs w:val="21"/>
          <w:highlight w:val="none"/>
        </w:rPr>
      </w:pPr>
      <w:r>
        <w:rPr>
          <w:rFonts w:hint="eastAsia" w:ascii="宋体" w:hAnsi="宋体" w:eastAsia="宋体" w:cs="宋体"/>
          <w:color w:val="0f1115"/>
          <w:sz w:val="21"/>
          <w:szCs w:val="21"/>
          <w:highlight w:val="none"/>
          <w:shd w:val="clear" w:color="auto" w:fill="ffffff"/>
        </w:rPr>
        <w:t xml:space="preserve">本方案由甲方（仪征市住房和城乡建设局）负责最终解释。</w:t>
      </w:r>
      <w:r>
        <w:rPr>
          <w:rFonts w:hint="eastAsia" w:ascii="宋体" w:hAnsi="宋体" w:eastAsia="宋体" w:cs="宋体"/>
          <w:sz w:val="21"/>
          <w:szCs w:val="21"/>
          <w:highlight w:val="none"/>
        </w:rPr>
      </w:r>
      <w:r/>
    </w:p>
    <w:p>
      <w:pPr>
        <w:pStyle w:val="998"/>
        <w:numPr>
          <w:ilvl w:val="0"/>
          <w:numId w:val="0"/>
        </w:numPr>
        <w:jc w:val="left"/>
        <w:spacing w:before="100" w:beforeAutospacing="1" w:after="100" w:afterAutospacing="1" w:line="360" w:lineRule="auto"/>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r>
      <w:r/>
    </w:p>
    <w:p>
      <w:pPr>
        <w:pStyle w:val="998"/>
        <w:numPr>
          <w:ilvl w:val="0"/>
          <w:numId w:val="0"/>
        </w:numPr>
        <w:jc w:val="left"/>
        <w:spacing w:before="100" w:beforeAutospacing="1" w:after="100" w:afterAutospacing="1" w:line="360" w:lineRule="auto"/>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r>
      <w:r/>
    </w:p>
    <w:p>
      <w:pPr>
        <w:pStyle w:val="998"/>
        <w:numPr>
          <w:ilvl w:val="0"/>
          <w:numId w:val="0"/>
        </w:numPr>
        <w:jc w:val="left"/>
        <w:spacing w:before="100" w:beforeAutospacing="1" w:after="100" w:afterAutospacing="1" w:line="360" w:lineRule="auto"/>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r>
      <w:r/>
    </w:p>
    <w:p>
      <w:pPr>
        <w:pStyle w:val="998"/>
        <w:numPr>
          <w:ilvl w:val="0"/>
          <w:numId w:val="0"/>
        </w:numPr>
        <w:jc w:val="left"/>
        <w:spacing w:before="100" w:beforeAutospacing="1" w:after="100" w:afterAutospacing="1" w:line="360" w:lineRule="auto"/>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r>
      <w:r/>
    </w:p>
    <w:p>
      <w:pPr>
        <w:pStyle w:val="998"/>
        <w:numPr>
          <w:ilvl w:val="0"/>
          <w:numId w:val="0"/>
        </w:numPr>
        <w:jc w:val="left"/>
        <w:spacing w:before="100" w:beforeAutospacing="1" w:after="100" w:afterAutospacing="1" w:line="360" w:lineRule="auto"/>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r>
      <w:r/>
    </w:p>
    <w:p>
      <w:pPr>
        <w:pStyle w:val="998"/>
        <w:numPr>
          <w:ilvl w:val="0"/>
          <w:numId w:val="0"/>
        </w:numPr>
        <w:jc w:val="left"/>
        <w:spacing w:before="100" w:beforeAutospacing="1" w:after="100" w:afterAutospacing="1" w:line="360" w:lineRule="auto"/>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r>
      <w:r/>
    </w:p>
    <w:p>
      <w:pPr>
        <w:pStyle w:val="998"/>
        <w:numPr>
          <w:ilvl w:val="0"/>
          <w:numId w:val="0"/>
        </w:numPr>
        <w:jc w:val="left"/>
        <w:spacing w:before="100" w:beforeAutospacing="1" w:after="100" w:afterAutospacing="1" w:line="360" w:lineRule="auto"/>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r>
      <w:r/>
    </w:p>
    <w:p>
      <w:pPr>
        <w:pStyle w:val="998"/>
        <w:numPr>
          <w:ilvl w:val="0"/>
          <w:numId w:val="0"/>
        </w:numPr>
        <w:jc w:val="left"/>
        <w:spacing w:before="100" w:beforeAutospacing="1" w:after="100" w:afterAutospacing="1" w:line="360" w:lineRule="auto"/>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r>
      <w:r/>
    </w:p>
    <w:p>
      <w:pPr>
        <w:pStyle w:val="998"/>
        <w:numPr>
          <w:ilvl w:val="0"/>
          <w:numId w:val="0"/>
        </w:numPr>
        <w:jc w:val="left"/>
        <w:spacing w:before="100" w:beforeAutospacing="1" w:after="100" w:afterAutospacing="1" w:line="360" w:lineRule="auto"/>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r>
      <w:r/>
    </w:p>
    <w:p>
      <w:pPr>
        <w:pStyle w:val="998"/>
        <w:numPr>
          <w:ilvl w:val="0"/>
          <w:numId w:val="0"/>
        </w:numPr>
        <w:jc w:val="left"/>
        <w:spacing w:before="100" w:beforeAutospacing="1" w:after="100" w:afterAutospacing="1" w:line="360" w:lineRule="auto"/>
        <w:widowControl/>
        <w:rPr>
          <w:rFonts w:hint="eastAsia" w:ascii="宋体" w:hAnsi="宋体" w:eastAsia="宋体" w:cs="宋体"/>
          <w:color w:val="0f1115"/>
          <w:sz w:val="21"/>
          <w:szCs w:val="21"/>
          <w:highlight w:val="none"/>
          <w:shd w:val="clear" w:color="auto" w:fill="ffffff"/>
        </w:rPr>
      </w:pPr>
      <w:r>
        <w:rPr>
          <w:rFonts w:hint="eastAsia" w:ascii="宋体" w:hAnsi="宋体" w:eastAsia="宋体" w:cs="宋体"/>
          <w:color w:val="0f1115"/>
          <w:sz w:val="21"/>
          <w:szCs w:val="21"/>
          <w:highlight w:val="none"/>
          <w:shd w:val="clear" w:color="auto" w:fill="ffffff"/>
        </w:rPr>
      </w:r>
      <w:r/>
    </w:p>
    <w:p>
      <w:pPr>
        <w:pStyle w:val="973"/>
        <w:jc w:val="left"/>
        <w:keepLines w:val="0"/>
        <w:keepNext w:val="0"/>
        <w:pageBreakBefore w:val="0"/>
        <w:spacing w:line="360" w:lineRule="auto"/>
        <w:widowControl w:val="off"/>
        <w:rPr>
          <w:rFonts w:hint="eastAsia"/>
          <w:b/>
          <w:bCs/>
          <w:sz w:val="32"/>
          <w:szCs w:val="32"/>
          <w:highlight w:val="none"/>
        </w:rPr>
      </w:pPr>
      <w:r>
        <w:rPr>
          <w:rFonts w:hint="eastAsia" w:ascii="宋体" w:hAnsi="宋体" w:eastAsia="宋体" w:cs="宋体"/>
          <w:b/>
          <w:bCs/>
          <w:color w:val="0f1115"/>
          <w:sz w:val="21"/>
          <w:szCs w:val="21"/>
          <w:highlight w:val="none"/>
          <w:shd w:val="clear" w:color="auto" w:fill="ffffff"/>
        </w:rPr>
        <w:t xml:space="preserve">附件：</w:t>
      </w:r>
      <w:r>
        <w:rPr>
          <w:rFonts w:hint="eastAsia" w:ascii="宋体" w:hAnsi="宋体" w:eastAsia="宋体" w:cs="宋体"/>
          <w:b/>
          <w:bCs/>
          <w:color w:val="0f1115"/>
          <w:sz w:val="21"/>
          <w:szCs w:val="21"/>
          <w:highlight w:val="none"/>
          <w:shd w:val="clear" w:color="auto" w:fill="ffffff"/>
          <w:lang w:val="en-US" w:eastAsia="zh-CN" w:bidi="ar-SA"/>
        </w:rPr>
        <w:t xml:space="preserve">《排水智能化系统运维项目》三年落地实施规划</w:t>
      </w:r>
      <w:r>
        <w:rPr>
          <w:rFonts w:hint="eastAsia"/>
          <w:b/>
          <w:bCs/>
          <w:sz w:val="32"/>
          <w:szCs w:val="32"/>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rPr>
        <w:t xml:space="preserve">一、业务目标：</w:t>
      </w:r>
      <w:r>
        <w:rPr>
          <w:rFonts w:hint="eastAsia"/>
          <w:b/>
          <w:bCs/>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1、建立排水管护标准化流程，实现标准化运维管护体系，将被动性养护转换为预防性养护，由排水管理粗放型到排水管理精细化。</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2、基于前端感知设备，实时监测管网水质水量，快速发现雨污混接、污水偷排等问题。实现准确识别，快速研判，及时处置。做到削减入河污染总量、提升污水厂进水浓度，实现降本增效。</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3、基于前端感知设备，通过高质量的数据采集实时掌握排水设施、管网运行工况，结合地势地形汇水模态、气象预报等数据，通过数据分析、模型算法等技术，实现区域性洪涝灾害的预测预判。为优化排水系统运行方案提供理论依据，为防洪调度提供决策依据。</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4、基于高质量的数据集，掌握排水设施实时运行工况，验证前期项目成效，也为后期项目研究、城市规划提供数据支撑和决策依据。推进城市高质量发展。</w:t>
      </w:r>
      <w:r>
        <w:rPr>
          <w:rFonts w:hint="eastAsia"/>
          <w:highlight w:val="none"/>
        </w:rPr>
      </w:r>
      <w:r/>
    </w:p>
    <w:p>
      <w:pPr>
        <w:pStyle w:val="973"/>
        <w:keepLines w:val="0"/>
        <w:keepNext w:val="0"/>
        <w:pageBreakBefore w:val="0"/>
        <w:spacing w:line="360" w:lineRule="auto"/>
        <w:widowControl w:val="off"/>
        <w:rPr>
          <w:rFonts w:eastAsia="宋体"/>
          <w:b/>
          <w:bCs/>
          <w:highlight w:val="none"/>
          <w:lang w:val="en-US" w:eastAsia="zh-CN"/>
        </w:rPr>
      </w:pPr>
      <w:r>
        <w:rPr>
          <w:rFonts w:hint="eastAsia"/>
          <w:b/>
          <w:bCs/>
          <w:highlight w:val="none"/>
          <w:lang w:val="en-US" w:eastAsia="zh-CN"/>
        </w:rPr>
        <w:t xml:space="preserve">二、具体实施规划</w:t>
      </w:r>
      <w:r>
        <w:rPr>
          <w:rFonts w:eastAsia="宋体"/>
          <w:b/>
          <w:bCs/>
          <w:highlight w:val="none"/>
          <w:lang w:val="en-US" w:eastAsia="zh-CN"/>
        </w:rPr>
      </w:r>
      <w:r/>
    </w:p>
    <w:tbl>
      <w:tblPr>
        <w:tblpPr w:horzAnchor="page" w:tblpX="1789" w:vertAnchor="text" w:tblpY="923" w:leftFromText="180" w:topFromText="0" w:rightFromText="180" w:bottomFromText="0"/>
        <w:tblW w:w="8291"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899"/>
        <w:gridCol w:w="1634"/>
        <w:gridCol w:w="2108"/>
        <w:gridCol w:w="3650"/>
      </w:tblGrid>
      <w:tr>
        <w:trPr>
          <w:trHeight w:val="390"/>
        </w:trPr>
        <w:tc>
          <w:tcPr>
            <w:tcMar>
              <w:left w:w="80" w:type="dxa"/>
              <w:top w:w="80" w:type="dxa"/>
              <w:right w:w="80" w:type="dxa"/>
              <w:bottom w:w="80" w:type="dxa"/>
            </w:tcMar>
            <w:tcW w:w="899"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ascii="宋体" w:hAnsi="宋体" w:eastAsia="宋体" w:cs="宋体"/>
                <w:sz w:val="20"/>
                <w:szCs w:val="20"/>
                <w:highlight w:val="none"/>
                <w:lang w:val="en-US" w:eastAsia="zh-CN" w:bidi="ar"/>
              </w:rPr>
              <w:t xml:space="preserve">阶段</w:t>
            </w:r>
            <w:r>
              <w:rPr>
                <w:sz w:val="20"/>
                <w:szCs w:val="20"/>
                <w:highlight w:val="none"/>
              </w:rPr>
            </w:r>
            <w:r/>
          </w:p>
        </w:tc>
        <w:tc>
          <w:tcPr>
            <w:tcMar>
              <w:left w:w="80" w:type="dxa"/>
              <w:top w:w="80" w:type="dxa"/>
              <w:right w:w="80" w:type="dxa"/>
              <w:bottom w:w="80" w:type="dxa"/>
            </w:tcMar>
            <w:tcW w:w="1634"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ascii="宋体" w:hAnsi="宋体" w:eastAsia="宋体" w:cs="宋体"/>
                <w:sz w:val="20"/>
                <w:szCs w:val="20"/>
                <w:highlight w:val="none"/>
                <w:lang w:val="en-US" w:eastAsia="zh-CN" w:bidi="ar"/>
              </w:rPr>
              <w:t xml:space="preserve">周期</w:t>
            </w:r>
            <w:r>
              <w:rPr>
                <w:sz w:val="20"/>
                <w:szCs w:val="20"/>
                <w:highlight w:val="none"/>
              </w:rPr>
            </w:r>
            <w:r/>
          </w:p>
        </w:tc>
        <w:tc>
          <w:tcPr>
            <w:tcMar>
              <w:left w:w="80" w:type="dxa"/>
              <w:top w:w="80" w:type="dxa"/>
              <w:right w:w="80" w:type="dxa"/>
              <w:bottom w:w="80" w:type="dxa"/>
            </w:tcMar>
            <w:tcW w:w="2108"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ascii="宋体" w:hAnsi="宋体" w:eastAsia="宋体" w:cs="宋体"/>
                <w:sz w:val="20"/>
                <w:szCs w:val="20"/>
                <w:highlight w:val="none"/>
                <w:lang w:val="en-US" w:eastAsia="zh-CN" w:bidi="ar"/>
              </w:rPr>
              <w:t xml:space="preserve">核心侧重</w:t>
            </w:r>
            <w:r>
              <w:rPr>
                <w:sz w:val="20"/>
                <w:szCs w:val="20"/>
                <w:highlight w:val="none"/>
              </w:rPr>
            </w:r>
            <w:r/>
          </w:p>
        </w:tc>
        <w:tc>
          <w:tcPr>
            <w:tcMar>
              <w:left w:w="80" w:type="dxa"/>
              <w:top w:w="80" w:type="dxa"/>
              <w:right w:w="80" w:type="dxa"/>
              <w:bottom w:w="80" w:type="dxa"/>
            </w:tcMar>
            <w:tcW w:w="3650"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ascii="宋体" w:hAnsi="宋体" w:eastAsia="宋体" w:cs="宋体"/>
                <w:sz w:val="20"/>
                <w:szCs w:val="20"/>
                <w:highlight w:val="none"/>
                <w:lang w:val="en-US" w:eastAsia="zh-CN" w:bidi="ar"/>
              </w:rPr>
              <w:t xml:space="preserve">核心转型/成果</w:t>
            </w:r>
            <w:r>
              <w:rPr>
                <w:sz w:val="20"/>
                <w:szCs w:val="20"/>
                <w:highlight w:val="none"/>
              </w:rPr>
            </w:r>
            <w:r/>
          </w:p>
        </w:tc>
      </w:tr>
      <w:tr>
        <w:trPr>
          <w:trHeight w:val="390"/>
        </w:trPr>
        <w:tc>
          <w:tcPr>
            <w:tcMar>
              <w:left w:w="80" w:type="dxa"/>
              <w:top w:w="80" w:type="dxa"/>
              <w:right w:w="80" w:type="dxa"/>
              <w:bottom w:w="80" w:type="dxa"/>
            </w:tcMar>
            <w:tcW w:w="899"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ascii="宋体" w:hAnsi="宋体" w:eastAsia="宋体" w:cs="宋体"/>
                <w:sz w:val="20"/>
                <w:szCs w:val="20"/>
                <w:highlight w:val="none"/>
                <w:lang w:val="en-US" w:eastAsia="zh-CN" w:bidi="ar"/>
              </w:rPr>
              <w:t xml:space="preserve">第一年</w:t>
            </w:r>
            <w:r>
              <w:rPr>
                <w:sz w:val="20"/>
                <w:szCs w:val="20"/>
                <w:highlight w:val="none"/>
              </w:rPr>
            </w:r>
            <w:r/>
          </w:p>
        </w:tc>
        <w:tc>
          <w:tcPr>
            <w:tcMar>
              <w:left w:w="80" w:type="dxa"/>
              <w:top w:w="80" w:type="dxa"/>
              <w:right w:w="80" w:type="dxa"/>
              <w:bottom w:w="80" w:type="dxa"/>
            </w:tcMar>
            <w:tcW w:w="1634"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ascii="宋体" w:hAnsi="宋体" w:eastAsia="宋体" w:cs="宋体"/>
                <w:sz w:val="20"/>
                <w:szCs w:val="20"/>
                <w:highlight w:val="none"/>
                <w:lang w:val="en-US" w:eastAsia="zh-CN" w:bidi="ar"/>
              </w:rPr>
              <w:t xml:space="preserve">基础建设期</w:t>
            </w:r>
            <w:r>
              <w:rPr>
                <w:sz w:val="20"/>
                <w:szCs w:val="20"/>
                <w:highlight w:val="none"/>
              </w:rPr>
            </w:r>
            <w:r/>
          </w:p>
        </w:tc>
        <w:tc>
          <w:tcPr>
            <w:tcMar>
              <w:left w:w="80" w:type="dxa"/>
              <w:top w:w="80" w:type="dxa"/>
              <w:right w:w="80" w:type="dxa"/>
              <w:bottom w:w="80" w:type="dxa"/>
            </w:tcMar>
            <w:tcW w:w="2108"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ascii="宋体" w:hAnsi="宋体" w:eastAsia="宋体" w:cs="宋体"/>
                <w:sz w:val="20"/>
                <w:szCs w:val="20"/>
                <w:highlight w:val="none"/>
                <w:lang w:val="en-US" w:eastAsia="zh-CN" w:bidi="ar"/>
              </w:rPr>
              <w:t xml:space="preserve">建标准、布试点感知、</w:t>
            </w:r>
            <w:r>
              <w:rPr>
                <w:rFonts w:hint="eastAsia" w:ascii="宋体" w:hAnsi="宋体" w:eastAsia="宋体" w:cs="宋体"/>
                <w:sz w:val="20"/>
                <w:szCs w:val="20"/>
                <w:highlight w:val="none"/>
                <w:lang w:val="en-US" w:eastAsia="zh-CN" w:bidi="ar"/>
              </w:rPr>
              <w:t xml:space="preserve">积累</w:t>
            </w:r>
            <w:r>
              <w:rPr>
                <w:rFonts w:ascii="宋体" w:hAnsi="宋体" w:eastAsia="宋体" w:cs="宋体"/>
                <w:sz w:val="20"/>
                <w:szCs w:val="20"/>
                <w:highlight w:val="none"/>
                <w:lang w:val="en-US" w:eastAsia="zh-CN" w:bidi="ar"/>
              </w:rPr>
              <w:t xml:space="preserve">基础数据</w:t>
            </w:r>
            <w:r>
              <w:rPr>
                <w:sz w:val="20"/>
                <w:szCs w:val="20"/>
                <w:highlight w:val="none"/>
              </w:rPr>
            </w:r>
            <w:r/>
          </w:p>
        </w:tc>
        <w:tc>
          <w:tcPr>
            <w:tcMar>
              <w:left w:w="80" w:type="dxa"/>
              <w:top w:w="80" w:type="dxa"/>
              <w:right w:w="80" w:type="dxa"/>
              <w:bottom w:w="80" w:type="dxa"/>
            </w:tcMar>
            <w:tcW w:w="3650"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ascii="宋体" w:hAnsi="宋体" w:eastAsia="宋体" w:cs="宋体"/>
                <w:sz w:val="20"/>
                <w:szCs w:val="20"/>
                <w:highlight w:val="none"/>
                <w:lang w:val="en-US" w:eastAsia="zh-CN" w:bidi="ar"/>
              </w:rPr>
              <w:t xml:space="preserve">被动养护→初步预防性养护，管理初步精细化</w:t>
            </w:r>
            <w:r>
              <w:rPr>
                <w:sz w:val="20"/>
                <w:szCs w:val="20"/>
                <w:highlight w:val="none"/>
              </w:rPr>
            </w:r>
            <w:r/>
          </w:p>
        </w:tc>
      </w:tr>
      <w:tr>
        <w:trPr>
          <w:trHeight w:val="390"/>
        </w:trPr>
        <w:tc>
          <w:tcPr>
            <w:tcMar>
              <w:left w:w="80" w:type="dxa"/>
              <w:top w:w="80" w:type="dxa"/>
              <w:right w:w="80" w:type="dxa"/>
              <w:bottom w:w="80" w:type="dxa"/>
            </w:tcMar>
            <w:tcW w:w="899"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ascii="宋体" w:hAnsi="宋体" w:eastAsia="宋体" w:cs="宋体"/>
                <w:sz w:val="20"/>
                <w:szCs w:val="20"/>
                <w:highlight w:val="none"/>
                <w:lang w:val="en-US" w:eastAsia="zh-CN" w:bidi="ar"/>
              </w:rPr>
              <w:t xml:space="preserve">第二年</w:t>
            </w:r>
            <w:r>
              <w:rPr>
                <w:sz w:val="20"/>
                <w:szCs w:val="20"/>
                <w:highlight w:val="none"/>
              </w:rPr>
            </w:r>
            <w:r/>
          </w:p>
        </w:tc>
        <w:tc>
          <w:tcPr>
            <w:tcMar>
              <w:left w:w="80" w:type="dxa"/>
              <w:top w:w="80" w:type="dxa"/>
              <w:right w:w="80" w:type="dxa"/>
              <w:bottom w:w="80" w:type="dxa"/>
            </w:tcMar>
            <w:tcW w:w="1634"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ascii="宋体" w:hAnsi="宋体" w:eastAsia="宋体" w:cs="宋体"/>
                <w:sz w:val="20"/>
                <w:szCs w:val="20"/>
                <w:highlight w:val="none"/>
                <w:lang w:val="en-US" w:eastAsia="zh-CN" w:bidi="ar"/>
              </w:rPr>
              <w:t xml:space="preserve">深化应用期</w:t>
            </w:r>
            <w:r>
              <w:rPr>
                <w:sz w:val="20"/>
                <w:szCs w:val="20"/>
                <w:highlight w:val="none"/>
              </w:rPr>
            </w:r>
            <w:r/>
          </w:p>
        </w:tc>
        <w:tc>
          <w:tcPr>
            <w:tcMar>
              <w:left w:w="80" w:type="dxa"/>
              <w:top w:w="80" w:type="dxa"/>
              <w:right w:w="80" w:type="dxa"/>
              <w:bottom w:w="80" w:type="dxa"/>
            </w:tcMar>
            <w:tcW w:w="2108"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hint="eastAsia" w:ascii="宋体" w:hAnsi="宋体" w:eastAsia="宋体" w:cs="宋体"/>
                <w:sz w:val="20"/>
                <w:szCs w:val="20"/>
                <w:highlight w:val="none"/>
                <w:lang w:val="en-US" w:eastAsia="zh-CN" w:bidi="ar"/>
              </w:rPr>
              <w:t xml:space="preserve">现场</w:t>
            </w:r>
            <w:r>
              <w:rPr>
                <w:rFonts w:ascii="宋体" w:hAnsi="宋体" w:eastAsia="宋体" w:cs="宋体"/>
                <w:sz w:val="20"/>
                <w:szCs w:val="20"/>
                <w:highlight w:val="none"/>
                <w:lang w:val="en-US" w:eastAsia="zh-CN" w:bidi="ar"/>
              </w:rPr>
              <w:t xml:space="preserve">感知、闭环监测、模型试跑</w:t>
            </w:r>
            <w:r>
              <w:rPr>
                <w:sz w:val="20"/>
                <w:szCs w:val="20"/>
                <w:highlight w:val="none"/>
              </w:rPr>
            </w:r>
            <w:r/>
          </w:p>
        </w:tc>
        <w:tc>
          <w:tcPr>
            <w:tcMar>
              <w:left w:w="80" w:type="dxa"/>
              <w:top w:w="80" w:type="dxa"/>
              <w:right w:w="80" w:type="dxa"/>
              <w:bottom w:w="80" w:type="dxa"/>
            </w:tcMar>
            <w:tcW w:w="3650"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ascii="宋体" w:hAnsi="宋体" w:eastAsia="宋体" w:cs="宋体"/>
                <w:sz w:val="20"/>
                <w:szCs w:val="20"/>
                <w:highlight w:val="none"/>
                <w:lang w:val="en-US" w:eastAsia="zh-CN" w:bidi="ar"/>
              </w:rPr>
              <w:t xml:space="preserve">在线监测，污染问题快速处置，洪涝初步预判</w:t>
            </w:r>
            <w:r>
              <w:rPr>
                <w:sz w:val="20"/>
                <w:szCs w:val="20"/>
                <w:highlight w:val="none"/>
              </w:rPr>
            </w:r>
            <w:r/>
          </w:p>
        </w:tc>
      </w:tr>
      <w:tr>
        <w:trPr>
          <w:trHeight w:val="390"/>
        </w:trPr>
        <w:tc>
          <w:tcPr>
            <w:tcMar>
              <w:left w:w="80" w:type="dxa"/>
              <w:top w:w="80" w:type="dxa"/>
              <w:right w:w="80" w:type="dxa"/>
              <w:bottom w:w="80" w:type="dxa"/>
            </w:tcMar>
            <w:tcW w:w="899"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ascii="宋体" w:hAnsi="宋体" w:eastAsia="宋体" w:cs="宋体"/>
                <w:sz w:val="20"/>
                <w:szCs w:val="20"/>
                <w:highlight w:val="none"/>
                <w:lang w:val="en-US" w:eastAsia="zh-CN" w:bidi="ar"/>
              </w:rPr>
              <w:t xml:space="preserve">第三年</w:t>
            </w:r>
            <w:r>
              <w:rPr>
                <w:sz w:val="20"/>
                <w:szCs w:val="20"/>
                <w:highlight w:val="none"/>
              </w:rPr>
            </w:r>
            <w:r/>
          </w:p>
        </w:tc>
        <w:tc>
          <w:tcPr>
            <w:tcMar>
              <w:left w:w="80" w:type="dxa"/>
              <w:top w:w="80" w:type="dxa"/>
              <w:right w:w="80" w:type="dxa"/>
              <w:bottom w:w="80" w:type="dxa"/>
            </w:tcMar>
            <w:tcW w:w="1634"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hint="eastAsia" w:ascii="宋体" w:hAnsi="宋体" w:eastAsia="宋体" w:cs="宋体"/>
                <w:sz w:val="20"/>
                <w:szCs w:val="20"/>
                <w:highlight w:val="none"/>
                <w:lang w:val="en-US" w:eastAsia="zh-CN" w:bidi="ar"/>
              </w:rPr>
              <w:t xml:space="preserve">应用</w:t>
            </w:r>
            <w:r>
              <w:rPr>
                <w:rFonts w:ascii="宋体" w:hAnsi="宋体" w:eastAsia="宋体" w:cs="宋体"/>
                <w:sz w:val="20"/>
                <w:szCs w:val="20"/>
                <w:highlight w:val="none"/>
                <w:lang w:val="en-US" w:eastAsia="zh-CN" w:bidi="ar"/>
              </w:rPr>
              <w:t xml:space="preserve">成熟期</w:t>
            </w:r>
            <w:r>
              <w:rPr>
                <w:sz w:val="20"/>
                <w:szCs w:val="20"/>
                <w:highlight w:val="none"/>
              </w:rPr>
            </w:r>
            <w:r/>
          </w:p>
        </w:tc>
        <w:tc>
          <w:tcPr>
            <w:tcMar>
              <w:left w:w="80" w:type="dxa"/>
              <w:top w:w="80" w:type="dxa"/>
              <w:right w:w="80" w:type="dxa"/>
              <w:bottom w:w="80" w:type="dxa"/>
            </w:tcMar>
            <w:tcW w:w="2108"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ascii="宋体" w:hAnsi="宋体" w:eastAsia="宋体" w:cs="宋体"/>
                <w:sz w:val="20"/>
                <w:szCs w:val="20"/>
                <w:highlight w:val="none"/>
                <w:lang w:val="en-US" w:eastAsia="zh-CN" w:bidi="ar"/>
              </w:rPr>
              <w:t xml:space="preserve">算法优化、智能决策、数据赋能</w:t>
            </w:r>
            <w:r>
              <w:rPr>
                <w:sz w:val="20"/>
                <w:szCs w:val="20"/>
                <w:highlight w:val="none"/>
              </w:rPr>
            </w:r>
            <w:r/>
          </w:p>
        </w:tc>
        <w:tc>
          <w:tcPr>
            <w:tcMar>
              <w:left w:w="80" w:type="dxa"/>
              <w:top w:w="80" w:type="dxa"/>
              <w:right w:w="80" w:type="dxa"/>
              <w:bottom w:w="80" w:type="dxa"/>
            </w:tcMar>
            <w:tcW w:w="3650" w:type="dxa"/>
            <w:vAlign w:val="top"/>
            <w:textDirection w:val="lrTb"/>
            <w:noWrap w:val="false"/>
          </w:tcPr>
          <w:p>
            <w:pPr>
              <w:pStyle w:val="973"/>
              <w:jc w:val="left"/>
              <w:keepLines w:val="0"/>
              <w:keepNext w:val="0"/>
              <w:widowControl/>
              <w:rPr>
                <w:sz w:val="20"/>
                <w:szCs w:val="20"/>
                <w:highlight w:val="none"/>
              </w:rPr>
              <w:pBdr>
                <w:top w:val="none" w:color="000000" w:sz="0" w:space="0"/>
                <w:left w:val="none" w:color="000000" w:sz="0" w:space="0"/>
                <w:bottom w:val="none" w:color="000000" w:sz="0" w:space="0"/>
                <w:right w:val="none" w:color="000000" w:sz="0" w:space="0"/>
              </w:pBdr>
              <w:framePr w:vAnchor="text" w:hAnchor="page" w:x="1789" w:y="923"/>
              <w:suppressLineNumbers w:val="0"/>
            </w:pPr>
            <w:r>
              <w:rPr>
                <w:rFonts w:hint="eastAsia" w:ascii="宋体" w:hAnsi="宋体" w:eastAsia="宋体" w:cs="宋体"/>
                <w:sz w:val="20"/>
                <w:szCs w:val="20"/>
                <w:highlight w:val="none"/>
                <w:lang w:val="en-US" w:eastAsia="zh-CN" w:bidi="ar"/>
              </w:rPr>
              <w:t xml:space="preserve">排水管理体系</w:t>
            </w:r>
            <w:r>
              <w:rPr>
                <w:rFonts w:ascii="宋体" w:hAnsi="宋体" w:eastAsia="宋体" w:cs="宋体"/>
                <w:sz w:val="20"/>
                <w:szCs w:val="20"/>
                <w:highlight w:val="none"/>
                <w:lang w:val="en-US" w:eastAsia="zh-CN" w:bidi="ar"/>
              </w:rPr>
              <w:t xml:space="preserve">长效运转，智能调度落地，数据服务城市发展</w:t>
            </w:r>
            <w:r>
              <w:rPr>
                <w:sz w:val="20"/>
                <w:szCs w:val="20"/>
                <w:highlight w:val="none"/>
              </w:rPr>
            </w:r>
            <w:r/>
          </w:p>
        </w:tc>
      </w:tr>
    </w:tbl>
    <w:p>
      <w:pPr>
        <w:pStyle w:val="973"/>
        <w:ind w:firstLine="420"/>
        <w:keepLines w:val="0"/>
        <w:keepNext w:val="0"/>
        <w:pageBreakBefore w:val="0"/>
        <w:spacing w:line="360" w:lineRule="auto"/>
        <w:widowControl w:val="off"/>
        <w:rPr>
          <w:rFonts w:hint="eastAsia"/>
          <w:highlight w:val="none"/>
        </w:rPr>
      </w:pPr>
      <w:r>
        <w:rPr>
          <w:rFonts w:hint="eastAsia"/>
          <w:highlight w:val="none"/>
        </w:rPr>
        <w:t xml:space="preserve">结合</w:t>
      </w:r>
      <w:r>
        <w:rPr>
          <w:rFonts w:hint="eastAsia"/>
          <w:highlight w:val="none"/>
          <w:lang w:val="en-US" w:eastAsia="zh-CN"/>
        </w:rPr>
        <w:t xml:space="preserve">业务</w:t>
      </w:r>
      <w:r>
        <w:rPr>
          <w:rFonts w:hint="eastAsia"/>
          <w:highlight w:val="none"/>
        </w:rPr>
        <w:t xml:space="preserve">目标，按基础建设期（第一年）、深化应用期（第二年）、应用成熟期（第三年）分阶段落地，明确各阶段任务、建设内容、达成效果，衔接整体目标。</w:t>
      </w:r>
      <w:r>
        <w:rPr>
          <w:rFonts w:hint="eastAsia"/>
          <w:highlight w:val="none"/>
        </w:rPr>
      </w:r>
      <w:r/>
    </w:p>
    <w:p>
      <w:pPr>
        <w:pStyle w:val="973"/>
        <w:ind w:firstLine="420"/>
        <w:keepLines w:val="0"/>
        <w:keepNext w:val="0"/>
        <w:pageBreakBefore w:val="0"/>
        <w:spacing w:line="360" w:lineRule="auto"/>
        <w:widowControl w:val="off"/>
        <w:rPr>
          <w:rFonts w:eastAsia="宋体"/>
          <w:highlight w:val="none"/>
          <w:lang w:val="en-US" w:eastAsia="zh-CN"/>
        </w:rPr>
      </w:pPr>
      <w:r>
        <w:rPr>
          <w:rFonts w:eastAsia="宋体"/>
          <w:highlight w:val="none"/>
          <w:lang w:val="en-US" w:eastAsia="zh-CN"/>
        </w:rPr>
      </w:r>
      <w:r/>
    </w:p>
    <w:p>
      <w:pPr>
        <w:pStyle w:val="973"/>
        <w:keepLines w:val="0"/>
        <w:keepNext w:val="0"/>
        <w:pageBreakBefore w:val="0"/>
        <w:spacing w:line="360" w:lineRule="auto"/>
        <w:widowControl w:val="off"/>
        <w:rPr>
          <w:rFonts w:hint="eastAsia"/>
          <w:b/>
          <w:bCs/>
          <w:highlight w:val="none"/>
        </w:rPr>
      </w:pPr>
      <w:r>
        <w:rPr>
          <w:rFonts w:hint="eastAsia"/>
          <w:b/>
          <w:bCs/>
          <w:highlight w:val="none"/>
        </w:rPr>
        <w:t xml:space="preserve">第一年：筑基打底・标准化搭建+感知网络初步部署</w:t>
      </w:r>
      <w:r>
        <w:rPr>
          <w:rFonts w:hint="eastAsia"/>
          <w:b/>
          <w:bCs/>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核心定位：完成制度流程标准化、基础感知点位布设，完成从被动养护向初步预防性养护转型，搭建数据基础框架。</w:t>
      </w:r>
      <w:r>
        <w:rPr>
          <w:rFonts w:hint="eastAsia"/>
          <w:highlight w:val="none"/>
        </w:rPr>
      </w:r>
      <w:r/>
    </w:p>
    <w:p>
      <w:pPr>
        <w:pStyle w:val="973"/>
        <w:keepLines w:val="0"/>
        <w:keepNext w:val="0"/>
        <w:pageBreakBefore w:val="0"/>
        <w:spacing w:line="360" w:lineRule="auto"/>
        <w:widowControl w:val="off"/>
        <w:rPr>
          <w:b/>
          <w:bCs/>
          <w:highlight w:val="none"/>
          <w:lang w:val="en-US" w:eastAsia="zh-CN"/>
        </w:rPr>
      </w:pPr>
      <w:r>
        <w:rPr>
          <w:rFonts w:hint="eastAsia"/>
          <w:b/>
          <w:bCs/>
          <w:highlight w:val="none"/>
          <w:lang w:eastAsia="zh-CN"/>
        </w:rPr>
        <w:t xml:space="preserve">（</w:t>
      </w:r>
      <w:r>
        <w:rPr>
          <w:rFonts w:hint="eastAsia"/>
          <w:b/>
          <w:bCs/>
          <w:highlight w:val="none"/>
          <w:lang w:val="en-US" w:eastAsia="zh-CN"/>
        </w:rPr>
        <w:t xml:space="preserve">一</w:t>
      </w:r>
      <w:r>
        <w:rPr>
          <w:rFonts w:hint="eastAsia"/>
          <w:b/>
          <w:bCs/>
          <w:highlight w:val="none"/>
          <w:lang w:eastAsia="zh-CN"/>
        </w:rPr>
        <w:t xml:space="preserve">）、</w:t>
      </w:r>
      <w:r>
        <w:rPr>
          <w:rFonts w:hint="eastAsia"/>
          <w:b/>
          <w:bCs/>
          <w:highlight w:val="none"/>
        </w:rPr>
        <w:t xml:space="preserve">重点工作</w:t>
      </w:r>
      <w:r>
        <w:rPr>
          <w:rFonts w:hint="eastAsia"/>
          <w:b/>
          <w:bCs/>
          <w:highlight w:val="none"/>
          <w:lang w:val="en-US" w:eastAsia="zh-CN"/>
        </w:rPr>
        <w:t xml:space="preserve">如下：</w:t>
      </w:r>
      <w:r>
        <w:rPr>
          <w:b/>
          <w:bCs/>
          <w:highlight w:val="none"/>
          <w:lang w:val="en-US" w:eastAsia="zh-CN"/>
        </w:rPr>
      </w:r>
      <w:r/>
    </w:p>
    <w:p>
      <w:pPr>
        <w:pStyle w:val="973"/>
        <w:keepLines w:val="0"/>
        <w:keepNext w:val="0"/>
        <w:pageBreakBefore w:val="0"/>
        <w:spacing w:line="360" w:lineRule="auto"/>
        <w:widowControl w:val="off"/>
        <w:rPr>
          <w:rFonts w:hint="eastAsia"/>
          <w:b/>
          <w:bCs/>
          <w:highlight w:val="none"/>
          <w:lang w:val="en-US" w:eastAsia="zh-CN"/>
        </w:rPr>
      </w:pPr>
      <w:r>
        <w:rPr>
          <w:rFonts w:hint="eastAsia"/>
          <w:b/>
          <w:bCs/>
          <w:highlight w:val="none"/>
        </w:rPr>
        <w:t xml:space="preserve">1、</w:t>
      </w:r>
      <w:r>
        <w:rPr>
          <w:rFonts w:hint="eastAsia"/>
          <w:b/>
          <w:bCs/>
          <w:highlight w:val="none"/>
          <w:lang w:val="en-US" w:eastAsia="zh-CN"/>
        </w:rPr>
        <w:t xml:space="preserve">与生命线等历史项目数据进行互通</w:t>
      </w:r>
      <w:r>
        <w:rPr>
          <w:rFonts w:hint="eastAsia"/>
          <w:b/>
          <w:bCs/>
          <w:highlight w:val="none"/>
          <w:lang w:val="en-US" w:eastAsia="zh-CN"/>
        </w:rPr>
      </w:r>
      <w:r/>
    </w:p>
    <w:p>
      <w:pPr>
        <w:pStyle w:val="973"/>
        <w:ind w:firstLine="420"/>
        <w:keepLines w:val="0"/>
        <w:keepNext w:val="0"/>
        <w:pageBreakBefore w:val="0"/>
        <w:spacing w:line="360" w:lineRule="auto"/>
        <w:widowControl w:val="off"/>
        <w:rPr>
          <w:rFonts w:hint="eastAsia"/>
          <w:b/>
          <w:bCs/>
          <w:highlight w:val="none"/>
          <w:lang w:val="en-US" w:eastAsia="zh-CN"/>
        </w:rPr>
      </w:pPr>
      <w:r>
        <w:rPr>
          <w:rFonts w:hint="eastAsia"/>
          <w:highlight w:val="none"/>
          <w:lang w:val="en-US" w:eastAsia="zh-CN"/>
        </w:rPr>
        <w:t xml:space="preserve">通过接口方式，获取生命线等项目已安装的设备数据，实现设备利旧，减少投资。</w:t>
      </w:r>
      <w:r>
        <w:rPr>
          <w:rFonts w:hint="eastAsia"/>
          <w:b/>
          <w:bCs/>
          <w:highlight w:val="none"/>
          <w:lang w:val="en-US" w:eastAsia="zh-CN"/>
        </w:rPr>
      </w:r>
      <w:r/>
    </w:p>
    <w:p>
      <w:pPr>
        <w:pStyle w:val="973"/>
        <w:keepLines w:val="0"/>
        <w:keepNext w:val="0"/>
        <w:pageBreakBefore w:val="0"/>
        <w:spacing w:line="360" w:lineRule="auto"/>
        <w:widowControl w:val="off"/>
        <w:rPr>
          <w:rFonts w:hint="eastAsia"/>
          <w:b/>
          <w:bCs/>
          <w:highlight w:val="none"/>
        </w:rPr>
      </w:pPr>
      <w:r>
        <w:rPr>
          <w:rFonts w:hint="eastAsia"/>
          <w:b/>
          <w:bCs/>
          <w:highlight w:val="none"/>
          <w:lang w:val="en-US" w:eastAsia="zh-CN"/>
        </w:rPr>
        <w:t xml:space="preserve">2、</w:t>
      </w:r>
      <w:r>
        <w:rPr>
          <w:rFonts w:hint="eastAsia"/>
          <w:b/>
          <w:bCs/>
          <w:highlight w:val="none"/>
        </w:rPr>
        <w:t xml:space="preserve">运维管护标准化体系落地</w:t>
      </w:r>
      <w:r>
        <w:rPr>
          <w:rFonts w:hint="eastAsia"/>
          <w:b/>
          <w:bCs/>
          <w:highlight w:val="none"/>
        </w:rPr>
      </w:r>
      <w:r/>
    </w:p>
    <w:p>
      <w:pPr>
        <w:pStyle w:val="973"/>
        <w:ind w:firstLine="420"/>
        <w:keepLines w:val="0"/>
        <w:keepNext w:val="0"/>
        <w:pageBreakBefore w:val="0"/>
        <w:spacing w:line="360" w:lineRule="auto"/>
        <w:widowControl w:val="off"/>
        <w:rPr>
          <w:rFonts w:hint="eastAsia"/>
          <w:highlight w:val="none"/>
        </w:rPr>
      </w:pPr>
      <w:r>
        <w:rPr>
          <w:rFonts w:hint="eastAsia"/>
          <w:highlight w:val="none"/>
        </w:rPr>
        <w:t xml:space="preserve">梳理现有排水管网、检查井、泵站、闸站等设施台账，</w:t>
      </w:r>
      <w:r>
        <w:rPr>
          <w:rFonts w:hint="eastAsia"/>
          <w:highlight w:val="none"/>
          <w:lang w:val="en-US" w:eastAsia="zh-CN"/>
        </w:rPr>
        <w:t xml:space="preserve">配合养护单位</w:t>
      </w:r>
      <w:r>
        <w:rPr>
          <w:rFonts w:hint="eastAsia"/>
          <w:highlight w:val="none"/>
        </w:rPr>
        <w:t xml:space="preserve">编制《排水设施管护作业标准》《巡检流程》《设备维保规程》《应急处置预案》等制度、作业表单、考核规范。</w:t>
      </w:r>
      <w:r>
        <w:rPr>
          <w:rFonts w:hint="eastAsia"/>
          <w:highlight w:val="none"/>
        </w:rPr>
      </w:r>
      <w:r/>
    </w:p>
    <w:p>
      <w:pPr>
        <w:pStyle w:val="973"/>
        <w:ind w:firstLine="420"/>
        <w:keepLines w:val="0"/>
        <w:keepNext w:val="0"/>
        <w:pageBreakBefore w:val="0"/>
        <w:spacing w:line="360" w:lineRule="auto"/>
        <w:widowControl w:val="off"/>
        <w:rPr>
          <w:rFonts w:hint="eastAsia"/>
          <w:highlight w:val="none"/>
        </w:rPr>
      </w:pPr>
      <w:r>
        <w:rPr>
          <w:rFonts w:hint="eastAsia"/>
          <w:highlight w:val="none"/>
          <w:lang w:val="en-US" w:eastAsia="zh-CN"/>
        </w:rPr>
        <w:t xml:space="preserve">配合养护单位进行</w:t>
      </w:r>
      <w:r>
        <w:rPr>
          <w:rFonts w:hint="eastAsia"/>
          <w:highlight w:val="none"/>
        </w:rPr>
        <w:t xml:space="preserve">统一人员岗位职责、巡检路线、养护频次、作业标准，淘汰粗放式管理模式，落地基础精细化管理要求。</w:t>
      </w:r>
      <w:r>
        <w:rPr>
          <w:rFonts w:hint="eastAsia"/>
          <w:highlight w:val="none"/>
        </w:rPr>
      </w:r>
      <w:r/>
    </w:p>
    <w:p>
      <w:pPr>
        <w:pStyle w:val="973"/>
        <w:ind w:firstLine="420"/>
        <w:keepLines w:val="0"/>
        <w:keepNext w:val="0"/>
        <w:pageBreakBefore w:val="0"/>
        <w:spacing w:line="360" w:lineRule="auto"/>
        <w:widowControl w:val="off"/>
        <w:rPr>
          <w:rFonts w:hint="eastAsia"/>
          <w:highlight w:val="none"/>
        </w:rPr>
      </w:pPr>
      <w:r>
        <w:rPr>
          <w:rFonts w:hint="eastAsia"/>
          <w:highlight w:val="none"/>
        </w:rPr>
        <w:t xml:space="preserve">组织标准化培训、实操考核，固化日常管护流程，建立</w:t>
      </w:r>
      <w:r>
        <w:rPr>
          <w:rFonts w:hint="eastAsia"/>
          <w:highlight w:val="none"/>
          <w:lang w:val="en-US" w:eastAsia="zh-CN"/>
        </w:rPr>
        <w:t xml:space="preserve">通过仪征排水小程序自动生成</w:t>
      </w:r>
      <w:r>
        <w:rPr>
          <w:rFonts w:hint="eastAsia"/>
          <w:highlight w:val="none"/>
        </w:rPr>
        <w:t xml:space="preserve">日常巡检台账，启动常态化预防性巡检。</w:t>
      </w:r>
      <w:r>
        <w:rPr>
          <w:rFonts w:hint="eastAsia"/>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lang w:val="en-US" w:eastAsia="zh-CN"/>
        </w:rPr>
        <w:t xml:space="preserve">3</w:t>
      </w:r>
      <w:r>
        <w:rPr>
          <w:rFonts w:hint="eastAsia"/>
          <w:b/>
          <w:bCs/>
          <w:highlight w:val="none"/>
        </w:rPr>
        <w:t xml:space="preserve">、前端感知设备试点布设</w:t>
      </w:r>
      <w:r>
        <w:rPr>
          <w:rFonts w:hint="eastAsia"/>
          <w:b/>
          <w:bCs/>
          <w:highlight w:val="none"/>
        </w:rPr>
      </w:r>
      <w:r/>
    </w:p>
    <w:p>
      <w:pPr>
        <w:pStyle w:val="973"/>
        <w:ind w:firstLine="420"/>
        <w:keepLines w:val="0"/>
        <w:keepNext w:val="0"/>
        <w:pageBreakBefore w:val="0"/>
        <w:spacing w:line="360" w:lineRule="auto"/>
        <w:widowControl w:val="off"/>
        <w:rPr>
          <w:rFonts w:hint="eastAsia"/>
          <w:highlight w:val="none"/>
        </w:rPr>
      </w:pPr>
      <w:r>
        <w:rPr>
          <w:rFonts w:hint="eastAsia"/>
          <w:highlight w:val="none"/>
        </w:rPr>
        <w:t xml:space="preserve">选取主干道、重点排污口、易混接路段、污水厂进水口、低洼易涝区域，试点安装液位、水质等感知终端。</w:t>
      </w:r>
      <w:r>
        <w:rPr>
          <w:rFonts w:hint="eastAsia"/>
          <w:highlight w:val="none"/>
        </w:rPr>
      </w:r>
      <w:r/>
    </w:p>
    <w:p>
      <w:pPr>
        <w:pStyle w:val="973"/>
        <w:ind w:firstLine="420"/>
        <w:keepLines w:val="0"/>
        <w:keepNext w:val="0"/>
        <w:pageBreakBefore w:val="0"/>
        <w:spacing w:line="360" w:lineRule="auto"/>
        <w:widowControl w:val="off"/>
        <w:rPr>
          <w:rFonts w:hint="eastAsia" w:eastAsia="宋体"/>
          <w:highlight w:val="none"/>
          <w:lang w:val="en-US" w:eastAsia="zh-CN"/>
        </w:rPr>
      </w:pPr>
      <w:r>
        <w:rPr>
          <w:rFonts w:hint="eastAsia"/>
          <w:highlight w:val="none"/>
        </w:rPr>
        <w:t xml:space="preserve">搭建数据</w:t>
      </w:r>
      <w:r>
        <w:rPr>
          <w:rFonts w:hint="eastAsia"/>
          <w:highlight w:val="none"/>
          <w:lang w:val="en-US" w:eastAsia="zh-CN"/>
        </w:rPr>
        <w:t xml:space="preserve">汇聚</w:t>
      </w:r>
      <w:r>
        <w:rPr>
          <w:rFonts w:hint="eastAsia"/>
          <w:highlight w:val="none"/>
        </w:rPr>
        <w:t xml:space="preserve">平台，实现水质、</w:t>
      </w:r>
      <w:r>
        <w:rPr>
          <w:rFonts w:hint="eastAsia"/>
          <w:highlight w:val="none"/>
          <w:lang w:val="en-US" w:eastAsia="zh-CN"/>
        </w:rPr>
        <w:t xml:space="preserve">液位</w:t>
      </w:r>
      <w:r>
        <w:rPr>
          <w:rFonts w:hint="eastAsia"/>
          <w:highlight w:val="none"/>
        </w:rPr>
        <w:t xml:space="preserve">、设施状态实时在线监测</w:t>
      </w:r>
      <w:r>
        <w:rPr>
          <w:rFonts w:hint="eastAsia"/>
          <w:highlight w:val="none"/>
          <w:lang w:eastAsia="zh-CN"/>
        </w:rPr>
        <w:t xml:space="preserve">。</w:t>
      </w:r>
      <w:r>
        <w:rPr>
          <w:rFonts w:hint="eastAsia" w:eastAsia="宋体"/>
          <w:highlight w:val="none"/>
          <w:lang w:val="en-US" w:eastAsia="zh-CN"/>
        </w:rPr>
      </w:r>
      <w:r/>
    </w:p>
    <w:p>
      <w:pPr>
        <w:pStyle w:val="973"/>
        <w:keepLines w:val="0"/>
        <w:keepNext w:val="0"/>
        <w:pageBreakBefore w:val="0"/>
        <w:spacing w:line="360" w:lineRule="auto"/>
        <w:widowControl w:val="off"/>
        <w:rPr>
          <w:rFonts w:hint="eastAsia"/>
          <w:b/>
          <w:bCs/>
          <w:highlight w:val="none"/>
        </w:rPr>
      </w:pPr>
      <w:r>
        <w:rPr>
          <w:rFonts w:hint="eastAsia"/>
          <w:b/>
          <w:bCs/>
          <w:highlight w:val="none"/>
          <w:lang w:val="en-US" w:eastAsia="zh-CN"/>
        </w:rPr>
        <w:t xml:space="preserve">4</w:t>
      </w:r>
      <w:r>
        <w:rPr>
          <w:rFonts w:hint="eastAsia"/>
          <w:b/>
          <w:bCs/>
          <w:highlight w:val="none"/>
        </w:rPr>
        <w:t xml:space="preserve">、基础数据归集</w:t>
      </w:r>
      <w:r>
        <w:rPr>
          <w:rFonts w:hint="eastAsia"/>
          <w:b/>
          <w:bCs/>
          <w:highlight w:val="none"/>
        </w:rPr>
      </w:r>
      <w:r/>
    </w:p>
    <w:p>
      <w:pPr>
        <w:pStyle w:val="973"/>
        <w:ind w:firstLine="420"/>
        <w:keepLines w:val="0"/>
        <w:keepNext w:val="0"/>
        <w:pageBreakBefore w:val="0"/>
        <w:spacing w:line="360" w:lineRule="auto"/>
        <w:widowControl w:val="off"/>
        <w:rPr>
          <w:rFonts w:hint="eastAsia"/>
          <w:highlight w:val="none"/>
        </w:rPr>
      </w:pPr>
      <w:r>
        <w:rPr>
          <w:rFonts w:hint="eastAsia"/>
          <w:highlight w:val="none"/>
        </w:rPr>
        <w:t xml:space="preserve">完善管网地理信息、地形地势、历史雨情、设施档案等基础数据集，完成数据分类、清洗、入库。</w:t>
      </w:r>
      <w:r>
        <w:rPr>
          <w:rFonts w:hint="eastAsia"/>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lang w:eastAsia="zh-CN"/>
        </w:rPr>
        <w:t xml:space="preserve">（</w:t>
      </w:r>
      <w:r>
        <w:rPr>
          <w:rFonts w:hint="eastAsia"/>
          <w:b/>
          <w:bCs/>
          <w:highlight w:val="none"/>
          <w:lang w:val="en-US" w:eastAsia="zh-CN"/>
        </w:rPr>
        <w:t xml:space="preserve">二</w:t>
      </w:r>
      <w:r>
        <w:rPr>
          <w:rFonts w:hint="eastAsia"/>
          <w:b/>
          <w:bCs/>
          <w:highlight w:val="none"/>
          <w:lang w:eastAsia="zh-CN"/>
        </w:rPr>
        <w:t xml:space="preserve">）、</w:t>
      </w:r>
      <w:r>
        <w:rPr>
          <w:rFonts w:hint="eastAsia"/>
          <w:b/>
          <w:bCs/>
          <w:highlight w:val="none"/>
        </w:rPr>
        <w:t xml:space="preserve">年度达成效果</w:t>
      </w:r>
      <w:r>
        <w:rPr>
          <w:rFonts w:hint="eastAsia"/>
          <w:b/>
          <w:bCs/>
          <w:highlight w:val="none"/>
        </w:rPr>
      </w:r>
      <w:r/>
    </w:p>
    <w:p>
      <w:pPr>
        <w:pStyle w:val="973"/>
        <w:ind w:firstLine="420"/>
        <w:keepLines w:val="0"/>
        <w:keepNext w:val="0"/>
        <w:pageBreakBefore w:val="0"/>
        <w:spacing w:line="360" w:lineRule="auto"/>
        <w:widowControl w:val="off"/>
        <w:rPr>
          <w:rFonts w:hint="eastAsia"/>
          <w:highlight w:val="none"/>
        </w:rPr>
      </w:pPr>
      <w:r>
        <w:rPr>
          <w:rFonts w:hint="eastAsia"/>
          <w:highlight w:val="none"/>
        </w:rPr>
        <w:t xml:space="preserve">形成完整排水管护标准化流程与制度体系，管护模式由被动抢修转为定期预防性巡检，管理初步精细化。</w:t>
      </w:r>
      <w:r>
        <w:rPr>
          <w:rFonts w:hint="eastAsia"/>
          <w:highlight w:val="none"/>
        </w:rPr>
      </w:r>
      <w:r/>
    </w:p>
    <w:p>
      <w:pPr>
        <w:pStyle w:val="973"/>
        <w:ind w:firstLine="420"/>
        <w:keepLines w:val="0"/>
        <w:keepNext w:val="0"/>
        <w:pageBreakBefore w:val="0"/>
        <w:spacing w:line="360" w:lineRule="auto"/>
        <w:widowControl w:val="off"/>
        <w:rPr>
          <w:rFonts w:eastAsia="宋体"/>
          <w:color w:val="000000"/>
          <w:highlight w:val="none"/>
          <w:lang w:val="en-US" w:eastAsia="zh-CN"/>
        </w:rPr>
      </w:pPr>
      <w:r>
        <w:rPr>
          <w:rFonts w:hint="eastAsia"/>
          <w:color w:val="000000"/>
          <w:highlight w:val="none"/>
          <w:lang w:val="en-US" w:eastAsia="zh-CN"/>
        </w:rPr>
        <w:t xml:space="preserve">《污水泵站运行监控系统》、《排涝泵站运行监控系统》初步建成，可以实现远程管理，自动化调度。</w:t>
      </w:r>
      <w:r>
        <w:rPr>
          <w:rFonts w:eastAsia="宋体"/>
          <w:color w:val="000000"/>
          <w:highlight w:val="none"/>
          <w:lang w:val="en-US" w:eastAsia="zh-CN"/>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试点区域实现水质、水量在线监测，可初步发现明显雨污混接、偷排问题，做到基础问题识别与处置。</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完成基础数据建档，感知网络覆盖重点风险区域。</w:t>
      </w:r>
      <w:r>
        <w:rPr>
          <w:rFonts w:hint="eastAsia"/>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rPr>
        <w:t xml:space="preserve">第二年：深化应用・智慧监测升级+洪涝预判雏形建成</w:t>
      </w:r>
      <w:r>
        <w:rPr>
          <w:rFonts w:hint="eastAsia"/>
          <w:b/>
          <w:bCs/>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核心定位：</w:t>
      </w:r>
      <w:r>
        <w:rPr>
          <w:rFonts w:hint="eastAsia"/>
          <w:highlight w:val="none"/>
          <w:lang w:val="en-US" w:eastAsia="zh-CN"/>
        </w:rPr>
        <w:t xml:space="preserve">完善</w:t>
      </w:r>
      <w:r>
        <w:rPr>
          <w:rFonts w:hint="eastAsia"/>
          <w:highlight w:val="none"/>
        </w:rPr>
        <w:t xml:space="preserve">感知网络，强化数据分析能力，实现问题快速处置、污染管控、洪涝初步预判，标准化运维落地。</w:t>
      </w:r>
      <w:r>
        <w:rPr>
          <w:rFonts w:hint="eastAsia"/>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lang w:eastAsia="zh-CN"/>
        </w:rPr>
        <w:t xml:space="preserve">（</w:t>
      </w:r>
      <w:r>
        <w:rPr>
          <w:rFonts w:hint="eastAsia"/>
          <w:b/>
          <w:bCs/>
          <w:highlight w:val="none"/>
          <w:lang w:val="en-US" w:eastAsia="zh-CN"/>
        </w:rPr>
        <w:t xml:space="preserve">一</w:t>
      </w:r>
      <w:r>
        <w:rPr>
          <w:rFonts w:hint="eastAsia"/>
          <w:b/>
          <w:bCs/>
          <w:highlight w:val="none"/>
          <w:lang w:eastAsia="zh-CN"/>
        </w:rPr>
        <w:t xml:space="preserve">）、</w:t>
      </w:r>
      <w:r>
        <w:rPr>
          <w:rFonts w:hint="eastAsia"/>
          <w:b/>
          <w:bCs/>
          <w:highlight w:val="none"/>
        </w:rPr>
        <w:t xml:space="preserve">重点工作</w:t>
      </w:r>
      <w:r>
        <w:rPr>
          <w:rFonts w:hint="eastAsia"/>
          <w:b/>
          <w:bCs/>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rPr>
        <w:t xml:space="preserve">1、标准化运维推行</w:t>
      </w:r>
      <w:r>
        <w:rPr>
          <w:rFonts w:hint="eastAsia"/>
          <w:b/>
          <w:bCs/>
          <w:highlight w:val="none"/>
        </w:rPr>
      </w:r>
      <w:r/>
    </w:p>
    <w:p>
      <w:pPr>
        <w:pStyle w:val="973"/>
        <w:ind w:firstLine="420"/>
        <w:keepLines w:val="0"/>
        <w:keepNext w:val="0"/>
        <w:pageBreakBefore w:val="0"/>
        <w:spacing w:line="360" w:lineRule="auto"/>
        <w:widowControl w:val="off"/>
        <w:rPr>
          <w:rFonts w:hint="eastAsia"/>
          <w:highlight w:val="none"/>
        </w:rPr>
      </w:pPr>
      <w:r>
        <w:rPr>
          <w:rFonts w:hint="eastAsia"/>
          <w:highlight w:val="none"/>
        </w:rPr>
        <w:t xml:space="preserve">将标准化管护流程、考核机制覆盖辖区排水设施，依托巡检数据优化作业频次、路线，深化精细化管理。</w:t>
      </w:r>
      <w:r>
        <w:rPr>
          <w:rFonts w:hint="eastAsia"/>
          <w:highlight w:val="none"/>
        </w:rPr>
      </w:r>
      <w:r/>
    </w:p>
    <w:p>
      <w:pPr>
        <w:pStyle w:val="973"/>
        <w:ind w:firstLine="420"/>
        <w:keepLines w:val="0"/>
        <w:keepNext w:val="0"/>
        <w:pageBreakBefore w:val="0"/>
        <w:spacing w:line="360" w:lineRule="auto"/>
        <w:widowControl w:val="off"/>
        <w:rPr>
          <w:rFonts w:hint="eastAsia"/>
          <w:highlight w:val="none"/>
        </w:rPr>
      </w:pPr>
      <w:r>
        <w:rPr>
          <w:rFonts w:hint="eastAsia"/>
          <w:highlight w:val="none"/>
        </w:rPr>
        <w:t xml:space="preserve">建立管护效果月度复盘机制，持续迭代作业标准，形成闭环运维管理。</w:t>
      </w:r>
      <w:r>
        <w:rPr>
          <w:rFonts w:hint="eastAsia"/>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rPr>
        <w:t xml:space="preserve">2、感知网络覆盖+监测系统升级</w:t>
      </w:r>
      <w:r>
        <w:rPr>
          <w:rFonts w:hint="eastAsia"/>
          <w:b/>
          <w:bCs/>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管网、排污口、泵站、易涝点位感知设备，实现水质、水量、设施工况实时监控。</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搭建一体化智慧排水管理平台，新增异常告警、工单派发、处置跟踪功能，形成“发现-研判-派单-处置-复盘”闭环。</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依托实时监测数据，精准排查雨污混接、污水偷排点位，专项整治污染源，稳定提升污水厂进水浓度，削减入河污染。</w:t>
      </w:r>
      <w:r>
        <w:rPr>
          <w:rFonts w:hint="eastAsia"/>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rPr>
        <w:t xml:space="preserve">3</w:t>
      </w:r>
      <w:r>
        <w:rPr>
          <w:rFonts w:hint="eastAsia"/>
          <w:b/>
          <w:bCs/>
          <w:highlight w:val="none"/>
          <w:lang w:eastAsia="zh-CN"/>
        </w:rPr>
        <w:t xml:space="preserve">、</w:t>
      </w:r>
      <w:r>
        <w:rPr>
          <w:rFonts w:hint="eastAsia"/>
          <w:b/>
          <w:bCs/>
          <w:highlight w:val="none"/>
        </w:rPr>
        <w:t xml:space="preserve">洪涝预测模型搭建与试运行</w:t>
      </w:r>
      <w:r>
        <w:rPr>
          <w:rFonts w:hint="eastAsia"/>
          <w:b/>
          <w:bCs/>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整合地形、汇水规律、气象预报、管网运行数据，搭建区域洪涝分析模型。</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开展历史工况模拟、汛期试运行，实现短周期洪涝风险预判，初步支撑排水调度。</w:t>
      </w:r>
      <w:r>
        <w:rPr>
          <w:rFonts w:hint="eastAsia"/>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rPr>
        <w:t xml:space="preserve">4</w:t>
      </w:r>
      <w:r>
        <w:rPr>
          <w:rFonts w:hint="eastAsia"/>
          <w:b/>
          <w:bCs/>
          <w:highlight w:val="none"/>
          <w:lang w:eastAsia="zh-CN"/>
        </w:rPr>
        <w:t xml:space="preserve">、</w:t>
      </w:r>
      <w:r>
        <w:rPr>
          <w:rFonts w:hint="eastAsia"/>
          <w:b/>
          <w:bCs/>
          <w:highlight w:val="none"/>
        </w:rPr>
        <w:t xml:space="preserve">数据应用拓展</w:t>
      </w:r>
      <w:r>
        <w:rPr>
          <w:rFonts w:hint="eastAsia"/>
          <w:b/>
          <w:bCs/>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依托平台运行数据，分析设施运行规律，辅助评估已建项目落地效果。</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b/>
          <w:bCs/>
          <w:highlight w:val="none"/>
          <w:lang w:eastAsia="zh-CN"/>
        </w:rPr>
        <w:t xml:space="preserve">（</w:t>
      </w:r>
      <w:r>
        <w:rPr>
          <w:rFonts w:hint="eastAsia"/>
          <w:b/>
          <w:bCs/>
          <w:highlight w:val="none"/>
          <w:lang w:val="en-US" w:eastAsia="zh-CN"/>
        </w:rPr>
        <w:t xml:space="preserve">二</w:t>
      </w:r>
      <w:r>
        <w:rPr>
          <w:rFonts w:hint="eastAsia"/>
          <w:b/>
          <w:bCs/>
          <w:highlight w:val="none"/>
          <w:lang w:eastAsia="zh-CN"/>
        </w:rPr>
        <w:t xml:space="preserve">）、</w:t>
      </w:r>
      <w:r>
        <w:rPr>
          <w:rFonts w:hint="eastAsia"/>
          <w:highlight w:val="none"/>
        </w:rPr>
        <w:t xml:space="preserve">年度达成效果</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标准化运维体系落地，精细化管理常态化运行。</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实现水质水量实时监测，雨污混接、偷排问题精准识别、快速处置，污染减排、降本增效成效显现。</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洪涝预测模型试运行有效，可提前预判风险，初步支撑防洪调度。</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形成持续更新的动态运行数据库，具备项目成效验证能力。</w:t>
      </w:r>
      <w:r>
        <w:rPr>
          <w:rFonts w:hint="eastAsia"/>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rPr>
        <w:t xml:space="preserve">第三年：</w:t>
      </w:r>
      <w:r>
        <w:rPr>
          <w:rFonts w:hint="eastAsia"/>
          <w:b/>
          <w:bCs/>
          <w:highlight w:val="none"/>
          <w:lang w:val="en-US" w:eastAsia="zh-CN"/>
        </w:rPr>
        <w:t xml:space="preserve">应用</w:t>
      </w:r>
      <w:r>
        <w:rPr>
          <w:rFonts w:hint="eastAsia"/>
          <w:b/>
          <w:bCs/>
          <w:highlight w:val="none"/>
        </w:rPr>
        <w:t xml:space="preserve">成熟・智能决策赋能+体系长效运转</w:t>
      </w:r>
      <w:r>
        <w:rPr>
          <w:rFonts w:hint="eastAsia"/>
          <w:b/>
          <w:bCs/>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核心定位：算法模型优化、</w:t>
      </w:r>
      <w:r>
        <w:rPr>
          <w:rFonts w:hint="eastAsia"/>
          <w:highlight w:val="none"/>
          <w:lang w:val="en-US" w:eastAsia="zh-CN"/>
        </w:rPr>
        <w:t xml:space="preserve">分</w:t>
      </w:r>
      <w:r>
        <w:rPr>
          <w:rFonts w:hint="eastAsia"/>
          <w:highlight w:val="none"/>
        </w:rPr>
        <w:t xml:space="preserve">场景智能决策，体系长效运行，数据深度服务城市规划与高质量发展。</w:t>
      </w:r>
      <w:r>
        <w:rPr>
          <w:rFonts w:hint="eastAsia"/>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lang w:eastAsia="zh-CN"/>
        </w:rPr>
        <w:t xml:space="preserve">（</w:t>
      </w:r>
      <w:r>
        <w:rPr>
          <w:rFonts w:hint="eastAsia"/>
          <w:b/>
          <w:bCs/>
          <w:highlight w:val="none"/>
          <w:lang w:val="en-US" w:eastAsia="zh-CN"/>
        </w:rPr>
        <w:t xml:space="preserve">一</w:t>
      </w:r>
      <w:r>
        <w:rPr>
          <w:rFonts w:hint="eastAsia"/>
          <w:b/>
          <w:bCs/>
          <w:highlight w:val="none"/>
          <w:lang w:eastAsia="zh-CN"/>
        </w:rPr>
        <w:t xml:space="preserve">）、</w:t>
      </w:r>
      <w:r>
        <w:rPr>
          <w:rFonts w:hint="eastAsia"/>
          <w:b/>
          <w:bCs/>
          <w:highlight w:val="none"/>
        </w:rPr>
        <w:t xml:space="preserve">重点工作</w:t>
      </w:r>
      <w:r>
        <w:rPr>
          <w:rFonts w:hint="eastAsia"/>
          <w:b/>
          <w:bCs/>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rPr>
        <w:t xml:space="preserve">1</w:t>
      </w:r>
      <w:r>
        <w:rPr>
          <w:rFonts w:hint="eastAsia"/>
          <w:b/>
          <w:bCs/>
          <w:highlight w:val="none"/>
          <w:lang w:eastAsia="zh-CN"/>
        </w:rPr>
        <w:t xml:space="preserve">、</w:t>
      </w:r>
      <w:r>
        <w:rPr>
          <w:rFonts w:hint="eastAsia"/>
          <w:b/>
          <w:bCs/>
          <w:highlight w:val="none"/>
        </w:rPr>
        <w:t xml:space="preserve">标准化运维长效优化</w:t>
      </w:r>
      <w:r>
        <w:rPr>
          <w:rFonts w:hint="eastAsia"/>
          <w:b/>
          <w:bCs/>
          <w:highlight w:val="none"/>
        </w:rPr>
      </w:r>
      <w:r/>
    </w:p>
    <w:p>
      <w:pPr>
        <w:pStyle w:val="973"/>
        <w:keepLines w:val="0"/>
        <w:keepNext w:val="0"/>
        <w:pageBreakBefore w:val="0"/>
        <w:spacing w:line="360" w:lineRule="auto"/>
        <w:widowControl w:val="off"/>
        <w:rPr>
          <w:rFonts w:hint="eastAsia"/>
          <w:highlight w:val="none"/>
        </w:rPr>
      </w:pPr>
      <w:r>
        <w:rPr>
          <w:rFonts w:hint="eastAsia"/>
          <w:highlight w:val="none"/>
          <w:lang w:val="en-US" w:eastAsia="zh-CN"/>
        </w:rPr>
        <w:t xml:space="preserve">    </w:t>
      </w:r>
      <w:r>
        <w:rPr>
          <w:rFonts w:hint="eastAsia"/>
          <w:highlight w:val="none"/>
        </w:rPr>
        <w:t xml:space="preserve">结合多年运行数据、设备损耗规律、季节工况，动态优化管护标准、维保周期，打造自适应、长效化标准化运维体系。</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lang w:val="en-US" w:eastAsia="zh-CN"/>
        </w:rPr>
        <w:t xml:space="preserve">   </w:t>
      </w:r>
      <w:r>
        <w:rPr>
          <w:rFonts w:hint="eastAsia"/>
          <w:highlight w:val="none"/>
        </w:rPr>
        <w:t xml:space="preserve">形成可复制、可推广的排水精细化管护模式。</w:t>
      </w:r>
      <w:r>
        <w:rPr>
          <w:rFonts w:hint="eastAsia"/>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rPr>
        <w:t xml:space="preserve">2</w:t>
      </w:r>
      <w:r>
        <w:rPr>
          <w:rFonts w:hint="eastAsia"/>
          <w:b/>
          <w:bCs/>
          <w:highlight w:val="none"/>
          <w:lang w:eastAsia="zh-CN"/>
        </w:rPr>
        <w:t xml:space="preserve">、</w:t>
      </w:r>
      <w:r>
        <w:rPr>
          <w:rFonts w:hint="eastAsia"/>
          <w:b/>
          <w:bCs/>
          <w:highlight w:val="none"/>
        </w:rPr>
        <w:t xml:space="preserve">智能研判与调度落地</w:t>
      </w:r>
      <w:r>
        <w:rPr>
          <w:rFonts w:hint="eastAsia"/>
          <w:b/>
          <w:bCs/>
          <w:highlight w:val="none"/>
        </w:rPr>
      </w:r>
      <w:r/>
    </w:p>
    <w:p>
      <w:pPr>
        <w:pStyle w:val="973"/>
        <w:keepLines w:val="0"/>
        <w:keepNext w:val="0"/>
        <w:pageBreakBefore w:val="0"/>
        <w:spacing w:line="360" w:lineRule="auto"/>
        <w:widowControl w:val="off"/>
        <w:rPr>
          <w:rFonts w:hint="eastAsia"/>
          <w:highlight w:val="none"/>
        </w:rPr>
      </w:pPr>
      <w:r>
        <w:rPr>
          <w:rFonts w:hint="eastAsia"/>
          <w:highlight w:val="none"/>
          <w:lang w:val="en-US" w:eastAsia="zh-CN"/>
        </w:rPr>
        <w:t xml:space="preserve">    </w:t>
      </w:r>
      <w:r>
        <w:rPr>
          <w:rFonts w:hint="eastAsia"/>
          <w:highlight w:val="none"/>
        </w:rPr>
        <w:t xml:space="preserve">迭代优化洪涝预测、管网运行算法模型，提升预判精度与时长，实现中长期洪涝灾害精准预测。</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lang w:val="en-US" w:eastAsia="zh-CN"/>
        </w:rPr>
        <w:t xml:space="preserve">    </w:t>
      </w:r>
      <w:r>
        <w:rPr>
          <w:rFonts w:hint="eastAsia"/>
          <w:highlight w:val="none"/>
        </w:rPr>
        <w:t xml:space="preserve">基于模型+实时数据，自动生成排水系统优化方案、防洪调度策略，实现智能辅助决策。</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lang w:val="en-US" w:eastAsia="zh-CN"/>
        </w:rPr>
        <w:t xml:space="preserve">    </w:t>
      </w:r>
      <w:r>
        <w:rPr>
          <w:rFonts w:hint="eastAsia"/>
          <w:highlight w:val="none"/>
        </w:rPr>
        <w:t xml:space="preserve">污染源溯源、偷排预警智能化升级，实现问题前置防控。</w:t>
      </w:r>
      <w:r>
        <w:rPr>
          <w:rFonts w:hint="eastAsia"/>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rPr>
        <w:t xml:space="preserve">3</w:t>
      </w:r>
      <w:r>
        <w:rPr>
          <w:rFonts w:hint="eastAsia"/>
          <w:b/>
          <w:bCs/>
          <w:highlight w:val="none"/>
          <w:lang w:eastAsia="zh-CN"/>
        </w:rPr>
        <w:t xml:space="preserve">、</w:t>
      </w:r>
      <w:r>
        <w:rPr>
          <w:rFonts w:hint="eastAsia"/>
          <w:b/>
          <w:bCs/>
          <w:highlight w:val="none"/>
        </w:rPr>
        <w:t xml:space="preserve">数据价值深度释放</w:t>
      </w:r>
      <w:r>
        <w:rPr>
          <w:rFonts w:hint="eastAsia"/>
          <w:b/>
          <w:bCs/>
          <w:highlight w:val="none"/>
        </w:rPr>
      </w:r>
      <w:r/>
    </w:p>
    <w:p>
      <w:pPr>
        <w:pStyle w:val="973"/>
        <w:keepLines w:val="0"/>
        <w:keepNext w:val="0"/>
        <w:pageBreakBefore w:val="0"/>
        <w:spacing w:line="360" w:lineRule="auto"/>
        <w:widowControl w:val="off"/>
        <w:rPr>
          <w:rFonts w:hint="eastAsia"/>
          <w:highlight w:val="none"/>
        </w:rPr>
      </w:pPr>
      <w:r>
        <w:rPr>
          <w:rFonts w:hint="eastAsia"/>
          <w:highlight w:val="none"/>
          <w:lang w:val="en-US" w:eastAsia="zh-CN"/>
        </w:rPr>
        <w:t xml:space="preserve">   </w:t>
      </w:r>
      <w:r>
        <w:rPr>
          <w:rFonts w:hint="eastAsia"/>
          <w:highlight w:val="none"/>
        </w:rPr>
        <w:t xml:space="preserve">依托多年连续运行数据集，复盘所有在建、已建项目成效，形成专项评估报告。</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lang w:val="en-US" w:eastAsia="zh-CN"/>
        </w:rPr>
        <w:t xml:space="preserve">   </w:t>
      </w:r>
      <w:r>
        <w:rPr>
          <w:rFonts w:hint="eastAsia"/>
          <w:highlight w:val="none"/>
        </w:rPr>
        <w:t xml:space="preserve">开放数据接口、输出分析结论，为新建排水项目、城市路网、水系规划提供数据支撑与决策依据。</w:t>
      </w:r>
      <w:r>
        <w:rPr>
          <w:rFonts w:hint="eastAsia"/>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rPr>
        <w:t xml:space="preserve">4</w:t>
      </w:r>
      <w:r>
        <w:rPr>
          <w:rFonts w:hint="eastAsia"/>
          <w:b/>
          <w:bCs/>
          <w:highlight w:val="none"/>
          <w:lang w:eastAsia="zh-CN"/>
        </w:rPr>
        <w:t xml:space="preserve">、</w:t>
      </w:r>
      <w:r>
        <w:rPr>
          <w:rFonts w:hint="eastAsia"/>
          <w:b/>
          <w:bCs/>
          <w:highlight w:val="none"/>
        </w:rPr>
        <w:t xml:space="preserve">系统与体系闭环运维</w:t>
      </w:r>
      <w:r>
        <w:rPr>
          <w:rFonts w:hint="eastAsia"/>
          <w:b/>
          <w:bCs/>
          <w:highlight w:val="none"/>
        </w:rPr>
      </w:r>
      <w:r/>
    </w:p>
    <w:p>
      <w:pPr>
        <w:pStyle w:val="973"/>
        <w:keepLines w:val="0"/>
        <w:keepNext w:val="0"/>
        <w:pageBreakBefore w:val="0"/>
        <w:spacing w:line="360" w:lineRule="auto"/>
        <w:widowControl w:val="off"/>
        <w:rPr>
          <w:rFonts w:hint="eastAsia"/>
          <w:highlight w:val="none"/>
        </w:rPr>
      </w:pPr>
      <w:r>
        <w:rPr>
          <w:rFonts w:hint="eastAsia"/>
          <w:highlight w:val="none"/>
          <w:lang w:val="en-US" w:eastAsia="zh-CN"/>
        </w:rPr>
        <w:t xml:space="preserve">    </w:t>
      </w:r>
      <w:r>
        <w:rPr>
          <w:rFonts w:hint="eastAsia"/>
          <w:highlight w:val="none"/>
        </w:rPr>
        <w:t xml:space="preserve">完成平台、设备、制度、人员磨合，建立软硬件常态化运维、版本迭代机制，保障系统长期稳定运行。</w:t>
      </w:r>
      <w:r>
        <w:rPr>
          <w:rFonts w:hint="eastAsia"/>
          <w:highlight w:val="none"/>
        </w:rPr>
      </w:r>
      <w:r/>
    </w:p>
    <w:p>
      <w:pPr>
        <w:pStyle w:val="973"/>
        <w:keepLines w:val="0"/>
        <w:keepNext w:val="0"/>
        <w:pageBreakBefore w:val="0"/>
        <w:spacing w:line="360" w:lineRule="auto"/>
        <w:widowControl w:val="off"/>
        <w:rPr>
          <w:rFonts w:hint="eastAsia"/>
          <w:b/>
          <w:bCs/>
          <w:highlight w:val="none"/>
        </w:rPr>
      </w:pPr>
      <w:r>
        <w:rPr>
          <w:rFonts w:hint="eastAsia"/>
          <w:b/>
          <w:bCs/>
          <w:highlight w:val="none"/>
          <w:lang w:eastAsia="zh-CN"/>
        </w:rPr>
        <w:t xml:space="preserve">（</w:t>
      </w:r>
      <w:r>
        <w:rPr>
          <w:rFonts w:hint="eastAsia"/>
          <w:b/>
          <w:bCs/>
          <w:highlight w:val="none"/>
          <w:lang w:val="en-US" w:eastAsia="zh-CN"/>
        </w:rPr>
        <w:t xml:space="preserve">二</w:t>
      </w:r>
      <w:r>
        <w:rPr>
          <w:rFonts w:hint="eastAsia"/>
          <w:b/>
          <w:bCs/>
          <w:highlight w:val="none"/>
          <w:lang w:eastAsia="zh-CN"/>
        </w:rPr>
        <w:t xml:space="preserve">）、</w:t>
      </w:r>
      <w:r>
        <w:rPr>
          <w:rFonts w:hint="eastAsia"/>
          <w:b/>
          <w:bCs/>
          <w:highlight w:val="none"/>
        </w:rPr>
        <w:t xml:space="preserve">年度达成效果</w:t>
      </w:r>
      <w:r>
        <w:rPr>
          <w:rFonts w:hint="eastAsia"/>
          <w:b/>
          <w:bCs/>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标准化预防性管护体系成熟，粗放管理彻底转型为高水平精细化管理。</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全流程实现“感知-识别-研判-处置-调度”智能化，污染管控、防洪调度能力达到预期目标，降本增效成果显著。</w:t>
      </w:r>
      <w:r>
        <w:rPr>
          <w:rFonts w:hint="eastAsia"/>
          <w:highlight w:val="none"/>
        </w:rPr>
      </w:r>
      <w:r/>
    </w:p>
    <w:p>
      <w:pPr>
        <w:pStyle w:val="973"/>
        <w:keepLines w:val="0"/>
        <w:keepNext w:val="0"/>
        <w:pageBreakBefore w:val="0"/>
        <w:spacing w:line="360" w:lineRule="auto"/>
        <w:widowControl w:val="off"/>
        <w:rPr>
          <w:rFonts w:hint="eastAsia"/>
          <w:highlight w:val="none"/>
        </w:rPr>
      </w:pPr>
      <w:r>
        <w:rPr>
          <w:rFonts w:hint="eastAsia"/>
          <w:highlight w:val="none"/>
        </w:rPr>
        <w:t xml:space="preserve">数据资产充分利用，全面支撑项目评估、城市规划，助力城市高质量发展。</w:t>
      </w:r>
      <w:r>
        <w:rPr>
          <w:rFonts w:hint="eastAsia"/>
          <w:highlight w:val="none"/>
        </w:rPr>
      </w:r>
      <w:r/>
    </w:p>
    <w:p>
      <w:pPr>
        <w:pStyle w:val="973"/>
        <w:jc w:val="center"/>
        <w:keepLines w:val="0"/>
        <w:keepNext w:val="0"/>
        <w:pageBreakBefore w:val="0"/>
        <w:spacing w:after="313"/>
        <w:widowControl w:val="off"/>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973"/>
        <w:jc w:val="center"/>
        <w:keepLines w:val="0"/>
        <w:keepNext w:val="0"/>
        <w:pageBreakBefore w:val="0"/>
        <w:spacing w:after="313"/>
        <w:widowControl w:val="off"/>
        <w:rPr>
          <w:rFonts w:hint="eastAsia"/>
          <w:b/>
          <w:bCs/>
          <w:color w:val="000000"/>
          <w:sz w:val="32"/>
          <w:szCs w:val="32"/>
          <w:highlight w:val="none"/>
        </w:rPr>
      </w:pPr>
      <w:r>
        <w:rPr>
          <w:rFonts w:hint="eastAsia"/>
          <w:b/>
          <w:bCs/>
          <w:color w:val="000000"/>
          <w:sz w:val="32"/>
          <w:szCs w:val="32"/>
          <w:highlight w:val="none"/>
          <w:lang w:val="en-US" w:eastAsia="zh-CN"/>
        </w:rPr>
        <w:br w:type="page" w:clear="all"/>
      </w:r>
      <w:bookmarkStart w:id="55" w:name="_Toc20199"/>
      <w:r>
        <w:rPr>
          <w:rStyle w:val="980"/>
          <w:rFonts w:hint="eastAsia" w:ascii="Times New Roman" w:hAnsi="Times New Roman" w:eastAsia="宋体" w:cs="Times New Roman"/>
          <w:color w:val="000000"/>
          <w:sz w:val="36"/>
          <w:szCs w:val="36"/>
          <w:highlight w:val="none"/>
          <w:lang w:val="en-US" w:eastAsia="zh-CN"/>
        </w:rPr>
        <w:t xml:space="preserve">第四章 采购需求</w:t>
      </w:r>
      <w:bookmarkEnd w:id="55"/>
      <w:r>
        <w:rPr>
          <w:rFonts w:hint="eastAsia"/>
          <w:b/>
          <w:bCs/>
          <w:color w:val="000000"/>
          <w:sz w:val="32"/>
          <w:szCs w:val="32"/>
          <w:highlight w:val="none"/>
        </w:rPr>
      </w:r>
      <w:r/>
    </w:p>
    <w:p>
      <w:pPr>
        <w:pStyle w:val="973"/>
        <w:keepLines w:val="0"/>
        <w:keepNext w:val="0"/>
        <w:pageBreakBefore w:val="0"/>
        <w:spacing w:line="440" w:lineRule="exact"/>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项目属性</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服务类</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73"/>
        <w:ind w:firstLine="480"/>
        <w:keepLines w:val="0"/>
        <w:keepNext w:val="0"/>
        <w:pageBreakBefore w:val="0"/>
        <w:spacing w:line="440" w:lineRule="exact"/>
        <w:widowControl w:val="off"/>
        <w:rPr>
          <w:bCs/>
          <w:iCs/>
          <w:color w:val="000000"/>
          <w:sz w:val="21"/>
          <w:szCs w:val="21"/>
          <w:highlight w:val="none"/>
        </w:rPr>
        <w:outlineLvl w:val="9"/>
      </w:pPr>
      <w:r>
        <w:rPr>
          <w:rFonts w:hint="eastAsia"/>
          <w:bCs/>
          <w:iCs/>
          <w:color w:val="000000"/>
          <w:sz w:val="21"/>
          <w:szCs w:val="21"/>
          <w:highlight w:val="none"/>
        </w:rPr>
        <w:t xml:space="preserve">其他要求</w:t>
      </w:r>
      <w:r>
        <w:rPr>
          <w:bCs/>
          <w:iCs/>
          <w:color w:val="000000"/>
          <w:sz w:val="21"/>
          <w:szCs w:val="21"/>
          <w:highlight w:val="none"/>
        </w:rPr>
      </w:r>
      <w:r/>
    </w:p>
    <w:p>
      <w:pPr>
        <w:pStyle w:val="973"/>
        <w:ind w:firstLine="480"/>
        <w:keepLines w:val="0"/>
        <w:keepNext w:val="0"/>
        <w:pageBreakBefore w:val="0"/>
        <w:spacing w:line="440" w:lineRule="exact"/>
        <w:widowControl w:val="off"/>
        <w:rPr>
          <w:bCs/>
          <w:iCs/>
          <w:color w:val="000000"/>
          <w:sz w:val="21"/>
          <w:szCs w:val="21"/>
          <w:highlight w:val="none"/>
        </w:rPr>
        <w:outlineLvl w:val="9"/>
      </w:pPr>
      <w:r>
        <w:rPr>
          <w:rFonts w:hint="eastAsia" w:ascii="宋体" w:hAnsi="宋体" w:eastAsia="宋体" w:cs="宋体"/>
          <w:bCs/>
          <w:iCs/>
          <w:color w:val="000000"/>
          <w:sz w:val="21"/>
          <w:szCs w:val="21"/>
          <w:highlight w:val="none"/>
          <w:lang w:val="en-US" w:eastAsia="zh-CN"/>
        </w:rPr>
        <w:t xml:space="preserve">1.</w:t>
      </w:r>
      <w:r>
        <w:rPr>
          <w:rFonts w:hint="eastAsia" w:ascii="宋体" w:hAnsi="宋体" w:eastAsia="宋体" w:cs="宋体"/>
          <w:bCs/>
          <w:iCs/>
          <w:color w:val="000000"/>
          <w:sz w:val="21"/>
          <w:szCs w:val="21"/>
          <w:highlight w:val="none"/>
        </w:rPr>
        <w:t xml:space="preserve">严</w:t>
      </w:r>
      <w:r>
        <w:rPr>
          <w:rFonts w:hint="eastAsia"/>
          <w:bCs/>
          <w:iCs/>
          <w:color w:val="000000"/>
          <w:sz w:val="21"/>
          <w:szCs w:val="21"/>
          <w:highlight w:val="none"/>
        </w:rPr>
        <w:t xml:space="preserve">格执行政府采购关于支持</w:t>
      </w:r>
      <w:r>
        <w:rPr>
          <w:rFonts w:hint="eastAsia"/>
          <w:bCs/>
          <w:iCs/>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bCs/>
          <w:iCs/>
          <w:color w:val="000000"/>
          <w:sz w:val="21"/>
          <w:szCs w:val="21"/>
          <w:highlight w:val="none"/>
        </w:rPr>
      </w:r>
      <w:r/>
    </w:p>
    <w:p>
      <w:pPr>
        <w:pStyle w:val="973"/>
        <w:ind w:firstLine="480"/>
        <w:keepLines w:val="0"/>
        <w:keepNext w:val="0"/>
        <w:pageBreakBefore w:val="0"/>
        <w:spacing w:line="440" w:lineRule="exact"/>
        <w:widowControl w:val="off"/>
        <w:rPr>
          <w:rFonts w:hint="eastAsia" w:ascii="宋体" w:hAnsi="宋体" w:cs="宋体"/>
          <w:sz w:val="24"/>
          <w:highlight w:val="none"/>
        </w:rPr>
        <w:outlineLvl w:val="9"/>
      </w:pPr>
      <w:r>
        <w:rPr>
          <w:rFonts w:hint="eastAsia" w:ascii="宋体" w:hAnsi="宋体" w:eastAsia="宋体" w:cs="宋体"/>
          <w:bCs/>
          <w:iCs/>
          <w:color w:val="000000"/>
          <w:sz w:val="21"/>
          <w:szCs w:val="21"/>
          <w:highlight w:val="none"/>
          <w:lang w:val="en-US" w:eastAsia="zh-CN"/>
        </w:rPr>
        <w:t xml:space="preserve">2.</w:t>
      </w:r>
      <w:r>
        <w:rPr>
          <w:rFonts w:hint="eastAsia" w:ascii="宋体" w:hAnsi="宋体" w:eastAsia="宋体" w:cs="宋体"/>
          <w:bCs/>
          <w:iCs/>
          <w:color w:val="000000"/>
          <w:sz w:val="21"/>
          <w:szCs w:val="21"/>
          <w:highlight w:val="none"/>
        </w:rPr>
        <w:t xml:space="preserve">供</w:t>
      </w:r>
      <w:r>
        <w:rPr>
          <w:rFonts w:hint="eastAsia"/>
          <w:bCs/>
          <w:iCs/>
          <w:color w:val="000000"/>
          <w:sz w:val="21"/>
          <w:szCs w:val="21"/>
          <w:highlight w:val="none"/>
        </w:rPr>
        <w:t xml:space="preserve">应商对于投标产品的包装应按照“财办库〔2020〕123号《关于印发《商品包装政府采购需求标准（试行）》、《快递包装政府采购需求标准（试行）》的通知》”执</w:t>
      </w:r>
      <w:r>
        <w:rPr>
          <w:rFonts w:hint="eastAsia"/>
          <w:bCs/>
          <w:iCs/>
          <w:color w:val="000000"/>
          <w:sz w:val="21"/>
          <w:szCs w:val="21"/>
          <w:highlight w:val="none"/>
        </w:rPr>
        <w:t xml:space="preserve">行。</w:t>
      </w:r>
      <w:r>
        <w:rPr>
          <w:rFonts w:hint="eastAsia" w:ascii="宋体" w:hAnsi="宋体" w:cs="宋体"/>
          <w:sz w:val="24"/>
          <w:highlight w:val="none"/>
        </w:rPr>
      </w:r>
      <w:r/>
    </w:p>
    <w:p>
      <w:pPr>
        <w:pStyle w:val="973"/>
        <w:ind w:firstLine="482"/>
        <w:keepLines w:val="0"/>
        <w:keepNext w:val="0"/>
        <w:pageBreakBefore w:val="0"/>
        <w:spacing w:after="65" w:line="440" w:lineRule="exact"/>
        <w:widowControl w:val="off"/>
        <w:rPr>
          <w:rFonts w:hint="eastAsia" w:eastAsia="宋体" w:cs="Times New Roman"/>
          <w:bCs/>
          <w:iCs/>
          <w:color w:val="000000"/>
          <w:sz w:val="21"/>
          <w:szCs w:val="21"/>
          <w:highlight w:val="none"/>
        </w:rPr>
        <w:outlineLvl w:val="9"/>
      </w:pPr>
      <w:r>
        <w:rPr>
          <w:rFonts w:hint="eastAsia" w:ascii="宋体" w:hAnsi="宋体" w:eastAsia="宋体" w:cs="宋体"/>
          <w:bCs/>
          <w:iCs/>
          <w:color w:val="000000"/>
          <w:sz w:val="21"/>
          <w:szCs w:val="21"/>
          <w:highlight w:val="none"/>
          <w:lang w:val="en-US" w:eastAsia="zh-CN"/>
        </w:rPr>
        <w:t xml:space="preserve">3.</w:t>
      </w:r>
      <w:r>
        <w:rPr>
          <w:rFonts w:hint="eastAsia" w:eastAsia="宋体" w:cs="Times New Roman"/>
          <w:bCs/>
          <w:iCs/>
          <w:color w:val="000000"/>
          <w:sz w:val="21"/>
          <w:szCs w:val="21"/>
          <w:highlight w:val="none"/>
          <w:lang w:val="en-US" w:eastAsia="zh-CN"/>
        </w:rPr>
        <w:t xml:space="preserve">采</w:t>
      </w:r>
      <w:r>
        <w:rPr>
          <w:rFonts w:hint="eastAsia" w:eastAsia="宋体" w:cs="Times New Roman"/>
          <w:bCs/>
          <w:iCs/>
          <w:color w:val="000000"/>
          <w:sz w:val="21"/>
          <w:szCs w:val="21"/>
          <w:highlight w:val="none"/>
        </w:rPr>
        <w:t xml:space="preserve">购标的清单</w:t>
      </w:r>
      <w:r>
        <w:rPr>
          <w:rFonts w:hint="eastAsia" w:eastAsia="宋体" w:cs="Times New Roman"/>
          <w:bCs/>
          <w:iCs/>
          <w:color w:val="000000"/>
          <w:sz w:val="21"/>
          <w:szCs w:val="21"/>
          <w:highlight w:val="none"/>
        </w:rPr>
      </w:r>
      <w:r/>
    </w:p>
    <w:tbl>
      <w:tblPr>
        <w:tblW w:w="79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28"/>
        <w:gridCol w:w="3827"/>
      </w:tblGrid>
      <w:tr>
        <w:trPr>
          <w:cantSplit/>
          <w:trHeight w:val="628"/>
        </w:trPr>
        <w:tc>
          <w:tcPr>
            <w:tcW w:w="4128" w:type="dxa"/>
            <w:vAlign w:val="center"/>
            <w:textDirection w:val="lrTb"/>
            <w:noWrap w:val="false"/>
          </w:tcPr>
          <w:p>
            <w:pPr>
              <w:pStyle w:val="973"/>
              <w:ind w:firstLine="0"/>
              <w:jc w:val="center"/>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采购标的</w:t>
            </w:r>
            <w:r>
              <w:rPr>
                <w:rFonts w:hint="eastAsia" w:ascii="宋体" w:hAnsi="宋体"/>
                <w:color w:val="000000"/>
                <w:sz w:val="21"/>
                <w:szCs w:val="21"/>
                <w:highlight w:val="none"/>
              </w:rPr>
            </w:r>
            <w:r/>
          </w:p>
        </w:tc>
        <w:tc>
          <w:tcPr>
            <w:tcW w:w="3827" w:type="dxa"/>
            <w:vAlign w:val="center"/>
            <w:textDirection w:val="lrTb"/>
            <w:noWrap w:val="false"/>
          </w:tcPr>
          <w:p>
            <w:pPr>
              <w:pStyle w:val="973"/>
              <w:ind w:firstLine="0"/>
              <w:jc w:val="center"/>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对应中小企业划分标准所属行业</w:t>
            </w:r>
            <w:r>
              <w:rPr>
                <w:rFonts w:hint="eastAsia" w:ascii="宋体" w:hAnsi="宋体"/>
                <w:color w:val="000000"/>
                <w:sz w:val="21"/>
                <w:szCs w:val="21"/>
                <w:highlight w:val="none"/>
              </w:rPr>
            </w:r>
            <w:r/>
          </w:p>
        </w:tc>
      </w:tr>
      <w:tr>
        <w:trPr>
          <w:cantSplit/>
          <w:trHeight w:val="641"/>
        </w:trPr>
        <w:tc>
          <w:tcPr>
            <w:tcW w:w="4128" w:type="dxa"/>
            <w:vAlign w:val="center"/>
            <w:textDirection w:val="lrTb"/>
            <w:noWrap w:val="false"/>
          </w:tcPr>
          <w:p>
            <w:pPr>
              <w:pStyle w:val="973"/>
              <w:jc w:val="center"/>
              <w:keepLines w:val="0"/>
              <w:keepNext w:val="0"/>
              <w:pageBreakBefore w:val="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仪征市排水智能化系统运维项目</w:t>
            </w:r>
            <w:r>
              <w:rPr>
                <w:rFonts w:hint="eastAsia" w:ascii="宋体" w:hAnsi="宋体"/>
                <w:color w:val="000000"/>
                <w:sz w:val="21"/>
                <w:szCs w:val="21"/>
                <w:highlight w:val="none"/>
                <w:lang w:eastAsia="zh-CN"/>
              </w:rPr>
            </w:r>
            <w:r/>
          </w:p>
        </w:tc>
        <w:tc>
          <w:tcPr>
            <w:tcW w:w="3827" w:type="dxa"/>
            <w:vAlign w:val="center"/>
            <w:textDirection w:val="lrTb"/>
            <w:noWrap w:val="false"/>
          </w:tcPr>
          <w:p>
            <w:pPr>
              <w:pStyle w:val="973"/>
              <w:ind w:firstLine="420"/>
              <w:jc w:val="center"/>
              <w:keepLines w:val="0"/>
              <w:keepNext w:val="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软件和信息技术服务业</w:t>
            </w:r>
            <w:r>
              <w:rPr>
                <w:rFonts w:hint="eastAsia" w:ascii="宋体" w:hAnsi="宋体"/>
                <w:color w:val="000000"/>
                <w:sz w:val="21"/>
                <w:szCs w:val="21"/>
                <w:highlight w:val="none"/>
              </w:rPr>
            </w:r>
            <w:r/>
          </w:p>
        </w:tc>
      </w:tr>
    </w:tbl>
    <w:p>
      <w:pPr>
        <w:pStyle w:val="973"/>
        <w:ind w:firstLine="420"/>
        <w:keepLines w:val="0"/>
        <w:keepNext w:val="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73"/>
        <w:ind w:firstLine="422"/>
        <w:keepLines w:val="0"/>
        <w:keepNext w:val="0"/>
        <w:pageBreakBefore w:val="0"/>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一、</w:t>
      </w:r>
      <w:r>
        <w:rPr>
          <w:rFonts w:hint="eastAsia" w:ascii="宋体" w:hAnsi="宋体" w:eastAsia="宋体" w:cs="宋体"/>
          <w:b/>
          <w:color w:val="000000"/>
          <w:szCs w:val="21"/>
          <w:highlight w:val="none"/>
        </w:rPr>
        <w:t xml:space="preserve">项目</w:t>
      </w:r>
      <w:r>
        <w:rPr>
          <w:rFonts w:hint="eastAsia" w:ascii="宋体" w:hAnsi="宋体" w:eastAsia="宋体" w:cs="宋体"/>
          <w:b/>
          <w:color w:val="000000"/>
          <w:szCs w:val="21"/>
          <w:highlight w:val="none"/>
          <w:lang w:val="en-US" w:eastAsia="zh-CN"/>
        </w:rPr>
        <w:t xml:space="preserve">概况</w:t>
      </w:r>
      <w:r>
        <w:rPr>
          <w:rFonts w:hint="eastAsia" w:ascii="宋体" w:hAnsi="宋体" w:eastAsia="宋体" w:cs="宋体"/>
          <w:b/>
          <w:color w:val="000000"/>
          <w:szCs w:val="21"/>
          <w:highlight w:val="none"/>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当前，我国城市发展正从外延扩张转向内涵提升，城市更新与全域数字化转型已成为提升城市核心竞争力、增强安全韧性的战略工程。国家“十四五”规划纲要明确提出</w:t>
      </w:r>
      <w:r>
        <w:rPr>
          <w:rFonts w:hint="eastAsia" w:ascii="宋体" w:hAnsi="宋体" w:eastAsia="宋体" w:cs="宋体"/>
          <w:sz w:val="21"/>
          <w:szCs w:val="21"/>
          <w:highlight w:val="none"/>
        </w:rPr>
        <w:t xml:space="preserve">“推进新型城市基础设施建设，打造智慧市政”；《“十四五”国家信息化规划》要求“构建城市智慧治理体系，提升防汛排涝、水环境治理信息化水平”。江苏省同步出台《“十四五”数字政府建设规划》，强调以数据驱动治理创新。扬州市也相继发布《扬州市政务信息化项目管理办法》《扬州市城市生命线安全工程建设实施方案》，对集约建设、数据共享、安全可靠提出明确要求。仪征市作为宁镇扬一体化的重要节点城市，近年来城市建设快速推进，排水系统规模持续扩大。目前，全市排水管网总长约800公里，泵站60余座，污水处理厂5座，入河排口200余个。</w:t>
      </w:r>
      <w:r>
        <w:rPr>
          <w:rFonts w:hint="eastAsia" w:ascii="宋体" w:hAnsi="宋体" w:eastAsia="宋体" w:cs="宋体"/>
          <w:sz w:val="21"/>
          <w:szCs w:val="21"/>
          <w:highlight w:val="none"/>
        </w:rPr>
      </w:r>
      <w:r/>
    </w:p>
    <w:p>
      <w:pPr>
        <w:pStyle w:val="973"/>
        <w:ind w:firstLine="420"/>
        <w:keepLines w:val="0"/>
        <w:keepNext w:val="0"/>
        <w:pageBreakBefore w:val="0"/>
        <w:spacing w:line="440" w:lineRule="exact"/>
        <w:rPr>
          <w:rFonts w:hint="eastAsia" w:ascii="宋体" w:hAnsi="宋体" w:eastAsia="宋体" w:cs="宋体"/>
          <w:b w:val="0"/>
          <w:bCs/>
          <w:color w:val="000000"/>
          <w:sz w:val="21"/>
          <w:szCs w:val="21"/>
          <w:highlight w:val="none"/>
          <w:lang w:val="en-US" w:eastAsia="zh-CN"/>
        </w:rPr>
      </w:pPr>
      <w:r>
        <w:rPr>
          <w:rFonts w:hint="eastAsia" w:ascii="宋体" w:hAnsi="宋体" w:eastAsia="宋体" w:cs="宋体"/>
          <w:sz w:val="21"/>
          <w:szCs w:val="21"/>
          <w:highlight w:val="none"/>
          <w:lang w:val="en-US" w:eastAsia="zh-CN"/>
        </w:rPr>
        <w:t xml:space="preserve">本项目以城市物联网数智基座，结合排水综合管理专项平台，围绕涉水资产开展标准化、体系化的数据治理工作。基于水利、气象、管网感知、地理空间等数据，通过大数据建模、机器学习、流体力学仿真、智能优化等算法技术，实现管网雨污混接、管网污水偷排、排水管网溢流、排水管网淤积、进水浓度异常等排水问题智能预警。为城市排水提供监测预警排水管网运维、排涝调度、设施管理、规划改造提供量化的数据支撑和决策依据，实现排水系统的精细化、智能化、高效化管理，提升防洪排涝能力、降低内涝风险、提高管网运维效率。</w:t>
      </w:r>
      <w:r>
        <w:rPr>
          <w:rFonts w:hint="eastAsia" w:ascii="宋体" w:hAnsi="宋体" w:eastAsia="宋体" w:cs="宋体"/>
          <w:b w:val="0"/>
          <w:bCs/>
          <w:color w:val="000000"/>
          <w:sz w:val="21"/>
          <w:szCs w:val="21"/>
          <w:highlight w:val="none"/>
          <w:lang w:val="en-US" w:eastAsia="zh-CN"/>
        </w:rPr>
      </w:r>
      <w:r/>
    </w:p>
    <w:p>
      <w:pPr>
        <w:pStyle w:val="973"/>
        <w:numPr>
          <w:ilvl w:val="0"/>
          <w:numId w:val="0"/>
        </w:numPr>
        <w:ind w:firstLine="422"/>
        <w:jc w:val="both"/>
        <w:keepLines w:val="0"/>
        <w:keepNext w:val="0"/>
        <w:pageBreakBefore w:val="0"/>
        <w:spacing w:line="440" w:lineRule="exact"/>
        <w:widowControl w:val="off"/>
        <w:rPr>
          <w:rFonts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二、项目建设背景</w:t>
      </w:r>
      <w:r>
        <w:rPr>
          <w:rFonts w:ascii="宋体" w:hAnsi="宋体" w:eastAsia="宋体" w:cs="宋体"/>
          <w:b/>
          <w:bCs w:val="0"/>
          <w:sz w:val="21"/>
          <w:szCs w:val="21"/>
          <w:highlight w:val="none"/>
          <w:lang w:val="en-US" w:eastAsia="zh-CN" w:bidi="ar-SA"/>
        </w:rPr>
      </w:r>
      <w:r/>
    </w:p>
    <w:p>
      <w:pPr>
        <w:pStyle w:val="986"/>
        <w:numPr>
          <w:ilvl w:val="0"/>
          <w:numId w:val="0"/>
        </w:numPr>
        <w:ind w:left="0" w:firstLine="422"/>
        <w:keepLines w:val="0"/>
        <w:keepNext w:val="0"/>
        <w:pageBreakBefore w:val="0"/>
        <w:spacing w:line="440" w:lineRule="exact"/>
        <w:widowControl w:val="off"/>
        <w:rPr>
          <w:rFonts w:hint="eastAsia" w:ascii="宋体" w:hAnsi="宋体" w:eastAsia="宋体" w:cs="宋体"/>
          <w:b/>
          <w:bCs w:val="0"/>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1、业务现状</w:t>
      </w:r>
      <w:r>
        <w:rPr>
          <w:rFonts w:hint="eastAsia" w:ascii="宋体" w:hAnsi="宋体" w:eastAsia="宋体" w:cs="宋体"/>
          <w:b/>
          <w:bCs w:val="0"/>
          <w:sz w:val="21"/>
          <w:szCs w:val="21"/>
          <w:highlight w:val="none"/>
          <w:lang w:val="en-US" w:eastAsia="zh-CN" w:bidi="ar-SA"/>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eastAsia="宋体" w:cs="Times New Roman"/>
          <w:szCs w:val="24"/>
          <w:highlight w:val="none"/>
          <w:lang w:val="en-US" w:eastAsia="zh-CN"/>
        </w:rPr>
        <w:t xml:space="preserve">  </w:t>
      </w:r>
      <w:r>
        <w:rPr>
          <w:rFonts w:hint="eastAsia" w:ascii="宋体" w:hAnsi="宋体" w:eastAsia="宋体" w:cs="宋体"/>
          <w:sz w:val="21"/>
          <w:szCs w:val="21"/>
          <w:highlight w:val="none"/>
          <w:lang w:val="en-US" w:eastAsia="zh-CN"/>
        </w:rPr>
        <w:t xml:space="preserve"> 仪征市地处长江北岸，属典型平原水网地区，城区地势低洼，排水防涝任务艰巨。目前，全市排水系统基本情况如下：</w:t>
      </w:r>
      <w:r>
        <w:rPr>
          <w:rFonts w:hint="eastAsia" w:ascii="宋体" w:hAnsi="宋体" w:eastAsia="宋体" w:cs="宋体"/>
          <w:sz w:val="21"/>
          <w:szCs w:val="21"/>
          <w:highlight w:val="none"/>
          <w:lang w:val="en-US" w:eastAsia="zh-CN"/>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排水管网：总长约800公里，其中雨水管网约450公里，污水管网约350公里。管网材质包括混凝土、HDPE、PVC等，建设年代跨度从1980年代至今，老旧管网占比约35%。管网拓扑结构复杂，存在大量雨污混接、错接现象。</w:t>
      </w:r>
      <w:r>
        <w:rPr>
          <w:rFonts w:hint="eastAsia" w:ascii="宋体" w:hAnsi="宋体" w:eastAsia="宋体" w:cs="宋体"/>
          <w:sz w:val="21"/>
          <w:szCs w:val="21"/>
          <w:highlight w:val="none"/>
          <w:lang w:val="en-US" w:eastAsia="zh-CN"/>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（2）泵站设施：共有各类泵站32座，其中雨水泵站18座，污水泵站8座，合流泵站6座。多数泵站建设于2000年前后，自动化程度低，仅有部分泵站配备PLC控制系统，且各自独立运行，未实现远程集中监控。</w:t>
      </w:r>
      <w:r>
        <w:rPr>
          <w:rFonts w:hint="eastAsia" w:ascii="宋体" w:hAnsi="宋体" w:eastAsia="宋体" w:cs="宋体"/>
          <w:sz w:val="21"/>
          <w:szCs w:val="21"/>
          <w:highlight w:val="none"/>
          <w:lang w:val="en-US" w:eastAsia="zh-CN"/>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（3）污水处理厂：城区现有污水处理厂5座，总处理能力15万吨/日。各厂均建有SCADA系统，但数据仅限厂内使用，未与管网运行数据联动。</w:t>
      </w:r>
      <w:r>
        <w:rPr>
          <w:rFonts w:hint="eastAsia" w:ascii="宋体" w:hAnsi="宋体" w:eastAsia="宋体" w:cs="宋体"/>
          <w:sz w:val="21"/>
          <w:szCs w:val="21"/>
          <w:highlight w:val="none"/>
          <w:lang w:val="en-US" w:eastAsia="zh-CN"/>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（4）监测设备：仪征市城市生命线工程在部分易涝点、重点管网布设了液位计30套、流量计15套，但数据尚未与本地管理深度融合。此外，环保部门在部分排水户安装了COD监测仪，但数据未共享。</w:t>
      </w:r>
      <w:r>
        <w:rPr>
          <w:rFonts w:hint="eastAsia" w:ascii="宋体" w:hAnsi="宋体" w:eastAsia="宋体" w:cs="宋体"/>
          <w:sz w:val="21"/>
          <w:szCs w:val="21"/>
          <w:highlight w:val="none"/>
          <w:lang w:val="en-US" w:eastAsia="zh-CN"/>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信息化系统：目前涉及排水的信息系统包括：住建局《排水许可管理系统》（单机版）、建阳市政《泵站监控系统》（分散）、水利局《河道水位监测系统》、应急局《防汛指挥系统》（以文档为主）。各系统相互独立，无数据交换接口。</w:t>
      </w:r>
      <w:r>
        <w:rPr>
          <w:rFonts w:hint="eastAsia" w:ascii="宋体" w:hAnsi="宋体" w:eastAsia="宋体" w:cs="宋体"/>
          <w:sz w:val="21"/>
          <w:szCs w:val="21"/>
          <w:highlight w:val="none"/>
          <w:lang w:val="en-US" w:eastAsia="zh-CN"/>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（6）数据资源：历年积累了大量数据，包括：</w:t>
      </w:r>
      <w:r>
        <w:rPr>
          <w:rFonts w:hint="eastAsia" w:ascii="宋体" w:hAnsi="宋体" w:eastAsia="宋体" w:cs="宋体"/>
          <w:sz w:val="21"/>
          <w:szCs w:val="21"/>
          <w:highlight w:val="none"/>
          <w:lang w:val="en-US" w:eastAsia="zh-CN"/>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2008年地下管线普查成果（CAD格式，约500张图纸）</w:t>
      </w:r>
      <w:r>
        <w:rPr>
          <w:rFonts w:hint="eastAsia" w:ascii="宋体" w:hAnsi="宋体" w:eastAsia="宋体" w:cs="宋体"/>
          <w:sz w:val="21"/>
          <w:szCs w:val="21"/>
          <w:highlight w:val="none"/>
          <w:lang w:val="en-US" w:eastAsia="zh-CN"/>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2015年排水户调查台账（Excel，约2000户）</w:t>
      </w:r>
      <w:r>
        <w:rPr>
          <w:rFonts w:hint="eastAsia" w:ascii="宋体" w:hAnsi="宋体" w:eastAsia="宋体" w:cs="宋体"/>
          <w:sz w:val="21"/>
          <w:szCs w:val="21"/>
          <w:highlight w:val="none"/>
          <w:lang w:val="en-US" w:eastAsia="zh-CN"/>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2020年污水管网CCTV检测视频（约300小时）</w:t>
      </w:r>
      <w:r>
        <w:rPr>
          <w:rFonts w:hint="eastAsia" w:ascii="宋体" w:hAnsi="宋体" w:eastAsia="宋体" w:cs="宋体"/>
          <w:sz w:val="21"/>
          <w:szCs w:val="21"/>
          <w:highlight w:val="none"/>
          <w:lang w:val="en-US" w:eastAsia="zh-CN"/>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2025年东区管网普查项目成果（55个文件夹，916个文件）</w:t>
      </w:r>
      <w:r>
        <w:rPr>
          <w:rFonts w:hint="eastAsia" w:ascii="宋体" w:hAnsi="宋体" w:eastAsia="宋体" w:cs="宋体"/>
          <w:sz w:val="21"/>
          <w:szCs w:val="21"/>
          <w:highlight w:val="none"/>
          <w:lang w:val="en-US" w:eastAsia="zh-CN"/>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泵站运行日志（纸质，每月归档）</w:t>
      </w:r>
      <w:r>
        <w:rPr>
          <w:rFonts w:hint="eastAsia" w:ascii="宋体" w:hAnsi="宋体" w:eastAsia="宋体" w:cs="宋体"/>
          <w:sz w:val="21"/>
          <w:szCs w:val="21"/>
          <w:highlight w:val="none"/>
          <w:lang w:val="en-US" w:eastAsia="zh-CN"/>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污水处理厂日报表（电子，分散存储）</w:t>
      </w:r>
      <w:r>
        <w:rPr>
          <w:rFonts w:hint="eastAsia" w:ascii="宋体" w:hAnsi="宋体" w:eastAsia="宋体" w:cs="宋体"/>
          <w:sz w:val="21"/>
          <w:szCs w:val="21"/>
          <w:highlight w:val="none"/>
          <w:lang w:val="en-US" w:eastAsia="zh-CN"/>
        </w:rPr>
      </w:r>
      <w:r/>
    </w:p>
    <w:p>
      <w:pPr>
        <w:pStyle w:val="973"/>
        <w:numPr>
          <w:ilvl w:val="0"/>
          <w:numId w:val="10"/>
        </w:numPr>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人员配备：现阶段养护单位人员，缺乏专业数据分析能力，以设备维修为主；日常巡检依靠纸质记录。</w:t>
      </w:r>
      <w:r>
        <w:rPr>
          <w:rFonts w:hint="eastAsia" w:ascii="宋体" w:hAnsi="宋体" w:eastAsia="宋体" w:cs="宋体"/>
          <w:sz w:val="21"/>
          <w:szCs w:val="21"/>
          <w:highlight w:val="none"/>
          <w:lang w:val="en-US" w:eastAsia="zh-CN"/>
        </w:rPr>
      </w:r>
      <w:r/>
    </w:p>
    <w:p>
      <w:pPr>
        <w:pStyle w:val="973"/>
        <w:numPr>
          <w:ilvl w:val="0"/>
          <w:numId w:val="0"/>
        </w:numPr>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面对上述挑战，市委市政府高度重视，明确提出要以数据为核心、以平台为支撑，推动城市治</w:t>
      </w:r>
      <w:r>
        <w:rPr>
          <w:rFonts w:hint="eastAsia" w:ascii="宋体" w:hAnsi="宋体" w:eastAsia="宋体" w:cs="宋体"/>
          <w:sz w:val="21"/>
          <w:szCs w:val="21"/>
          <w:highlight w:val="none"/>
          <w:lang w:val="en-US" w:eastAsia="zh-CN"/>
        </w:rPr>
      </w:r>
      <w:r/>
    </w:p>
    <w:p>
      <w:pPr>
        <w:pStyle w:val="973"/>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理范式转型。2025年，仪征市启动了城市生命线安全工程建设，一期工程重点聚焦燃气、供水、排水、道路、桥梁等专项的“综合监管+智慧监测”，主要目标是构建感知网络，实现风险识别与预警。目前，生命线工程已完成排水专项的监测感知设备布设，以及相关既有数据接入，实现了从“无数据”到“有数据”、从“看不见”到“能看见”的突破。</w:t>
      </w:r>
      <w:r>
        <w:rPr>
          <w:rFonts w:hint="eastAsia" w:ascii="宋体" w:hAnsi="宋体" w:eastAsia="宋体" w:cs="宋体"/>
          <w:sz w:val="21"/>
          <w:szCs w:val="21"/>
          <w:highlight w:val="none"/>
          <w:lang w:val="en-US" w:eastAsia="zh-CN"/>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本项目旨在让数据真正发挥价值，进一步开展“数据运营”——对汇聚的数据进行深度治理、融合分析，打通从“报警”到“处置”的业务闭环，实现从“被动响应”向“主动干预”的转变。</w:t>
      </w:r>
      <w:r>
        <w:rPr>
          <w:rFonts w:hint="eastAsia" w:ascii="宋体" w:hAnsi="宋体" w:eastAsia="宋体" w:cs="宋体"/>
          <w:sz w:val="21"/>
          <w:szCs w:val="21"/>
          <w:highlight w:val="none"/>
          <w:lang w:val="en-US" w:eastAsia="zh-CN"/>
        </w:rPr>
      </w:r>
      <w:r/>
    </w:p>
    <w:p>
      <w:pPr>
        <w:pStyle w:val="973"/>
        <w:numPr>
          <w:ilvl w:val="0"/>
          <w:numId w:val="0"/>
        </w:numPr>
        <w:ind w:firstLine="422"/>
        <w:jc w:val="both"/>
        <w:keepLines w:val="0"/>
        <w:keepNext w:val="0"/>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三、技术规范</w:t>
      </w:r>
      <w:r>
        <w:rPr>
          <w:rFonts w:hint="eastAsia" w:ascii="宋体" w:hAnsi="宋体" w:eastAsia="宋体" w:cs="宋体"/>
          <w:b/>
          <w:bCs w:val="0"/>
          <w:sz w:val="21"/>
          <w:szCs w:val="21"/>
          <w:highlight w:val="none"/>
          <w:lang w:val="en-US" w:eastAsia="zh-CN" w:bidi="ar-SA"/>
        </w:rPr>
      </w:r>
      <w:r/>
    </w:p>
    <w:p>
      <w:pPr>
        <w:pStyle w:val="973"/>
        <w:ind w:firstLine="422"/>
        <w:keepLines w:val="0"/>
        <w:keepNext w:val="0"/>
        <w:pageBreakBefore w:val="0"/>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国家及行业标准</w:t>
      </w:r>
      <w:r>
        <w:rPr>
          <w:rFonts w:hint="eastAsia" w:ascii="宋体" w:hAnsi="宋体" w:eastAsia="宋体" w:cs="宋体"/>
          <w:b/>
          <w:bCs/>
          <w:sz w:val="21"/>
          <w:szCs w:val="21"/>
          <w:highlight w:val="none"/>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《信息安全技术 网络安全等级保护基本要求》（GB/T 22239-2019）  </w:t>
      </w:r>
      <w:r>
        <w:rPr>
          <w:rFonts w:hint="eastAsia" w:ascii="宋体" w:hAnsi="宋体" w:eastAsia="宋体" w:cs="宋体"/>
          <w:sz w:val="21"/>
          <w:szCs w:val="21"/>
          <w:highlight w:val="none"/>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《信息安全技术 信息系统密码应用基本要求》（GB/T 39786-2021）  </w:t>
      </w:r>
      <w:r>
        <w:rPr>
          <w:rFonts w:hint="eastAsia" w:ascii="宋体" w:hAnsi="宋体" w:eastAsia="宋体" w:cs="宋体"/>
          <w:sz w:val="21"/>
          <w:szCs w:val="21"/>
          <w:highlight w:val="none"/>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《城镇排水管道检测与评估技术规程》（CJJ 181-2012）  </w:t>
      </w:r>
      <w:r>
        <w:rPr>
          <w:rFonts w:hint="eastAsia" w:ascii="宋体" w:hAnsi="宋体" w:eastAsia="宋体" w:cs="宋体"/>
          <w:sz w:val="21"/>
          <w:szCs w:val="21"/>
          <w:highlight w:val="none"/>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《地理信息 分类与编码规则》（GB/T 25529-2010）  </w:t>
      </w:r>
      <w:r>
        <w:rPr>
          <w:rFonts w:hint="eastAsia" w:ascii="宋体" w:hAnsi="宋体" w:eastAsia="宋体" w:cs="宋体"/>
          <w:sz w:val="21"/>
          <w:szCs w:val="21"/>
          <w:highlight w:val="none"/>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《软件工程 软件开发成本度量规范》（GB/T 36964-2018）  </w:t>
      </w:r>
      <w:r>
        <w:rPr>
          <w:rFonts w:hint="eastAsia" w:ascii="宋体" w:hAnsi="宋体" w:eastAsia="宋体" w:cs="宋体"/>
          <w:sz w:val="21"/>
          <w:szCs w:val="21"/>
          <w:highlight w:val="none"/>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《信息技术服务 运行维护 第7部分：成本度量规范》（GB/T 28827.7-2022）</w:t>
      </w:r>
      <w:r>
        <w:rPr>
          <w:rFonts w:hint="eastAsia" w:ascii="宋体" w:hAnsi="宋体" w:eastAsia="宋体" w:cs="宋体"/>
          <w:sz w:val="21"/>
          <w:szCs w:val="21"/>
          <w:highlight w:val="none"/>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《城镇地理信息系统技术规范 排水管网》（TCSGPC 029-2024）  </w:t>
      </w:r>
      <w:r>
        <w:rPr>
          <w:rFonts w:hint="eastAsia" w:ascii="宋体" w:hAnsi="宋体" w:eastAsia="宋体" w:cs="宋体"/>
          <w:sz w:val="21"/>
          <w:szCs w:val="21"/>
          <w:highlight w:val="none"/>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《城镇供水管网运行、维护及安全技术规程》（CJJ207-2013）</w:t>
      </w:r>
      <w:r>
        <w:rPr>
          <w:rFonts w:hint="eastAsia" w:ascii="宋体" w:hAnsi="宋体" w:eastAsia="宋体" w:cs="宋体"/>
          <w:sz w:val="21"/>
          <w:szCs w:val="21"/>
          <w:highlight w:val="none"/>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《室外排水设计标准》（GB50014-2021）</w:t>
      </w:r>
      <w:r>
        <w:rPr>
          <w:rFonts w:hint="eastAsia" w:ascii="宋体" w:hAnsi="宋体" w:eastAsia="宋体" w:cs="宋体"/>
          <w:sz w:val="21"/>
          <w:szCs w:val="21"/>
          <w:highlight w:val="none"/>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《城市排水防涝设施数据采集与维护技术规范》（GB/T51187-2016）</w:t>
      </w:r>
      <w:r>
        <w:rPr>
          <w:rFonts w:hint="eastAsia" w:ascii="宋体" w:hAnsi="宋体" w:eastAsia="宋体" w:cs="宋体"/>
          <w:sz w:val="21"/>
          <w:szCs w:val="21"/>
          <w:highlight w:val="none"/>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《城镇排水管渠与泵站运行、维护技术规程》（CJJ68-2016）</w:t>
      </w:r>
      <w:r>
        <w:rPr>
          <w:rFonts w:hint="eastAsia" w:ascii="宋体" w:hAnsi="宋体" w:eastAsia="宋体" w:cs="宋体"/>
          <w:sz w:val="21"/>
          <w:szCs w:val="21"/>
          <w:highlight w:val="none"/>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《城市排水管道检测与评估技术规程》（CJJ181-2012）</w:t>
      </w:r>
      <w:r>
        <w:rPr>
          <w:rFonts w:hint="eastAsia" w:ascii="宋体" w:hAnsi="宋体" w:eastAsia="宋体" w:cs="宋体"/>
          <w:sz w:val="21"/>
          <w:szCs w:val="21"/>
          <w:highlight w:val="none"/>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《城市排水工程规划规范》（GB50318-2017）</w:t>
      </w:r>
      <w:r>
        <w:rPr>
          <w:rFonts w:hint="eastAsia" w:ascii="宋体" w:hAnsi="宋体" w:eastAsia="宋体" w:cs="宋体"/>
          <w:sz w:val="21"/>
          <w:szCs w:val="21"/>
          <w:highlight w:val="none"/>
        </w:rPr>
      </w:r>
      <w:r/>
    </w:p>
    <w:p>
      <w:pPr>
        <w:pStyle w:val="973"/>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地方标准 </w:t>
      </w:r>
      <w:r>
        <w:rPr>
          <w:rFonts w:hint="eastAsia" w:ascii="宋体" w:hAnsi="宋体" w:eastAsia="宋体" w:cs="宋体"/>
          <w:sz w:val="21"/>
          <w:szCs w:val="21"/>
          <w:highlight w:val="none"/>
        </w:rPr>
      </w:r>
      <w:r/>
    </w:p>
    <w:p>
      <w:pPr>
        <w:pStyle w:val="973"/>
        <w:ind w:firstLine="420"/>
        <w:keepLines w:val="0"/>
        <w:keepNext w:val="0"/>
        <w:pageBreakBefore w:val="0"/>
        <w:spacing w:line="440" w:lineRule="exact"/>
        <w:widowControl/>
        <w:rPr>
          <w:rFonts w:hint="eastAsia" w:ascii="宋体" w:hAnsi="宋体" w:eastAsia="宋体" w:cs="Times New Roman"/>
          <w:color w:val="000000"/>
          <w:szCs w:val="22"/>
          <w:highlight w:val="none"/>
        </w:rPr>
      </w:pPr>
      <w:r>
        <w:rPr>
          <w:rFonts w:hint="eastAsia" w:ascii="宋体" w:hAnsi="宋体" w:eastAsia="宋体" w:cs="宋体"/>
          <w:sz w:val="21"/>
          <w:szCs w:val="21"/>
          <w:highlight w:val="none"/>
        </w:rPr>
        <w:t xml:space="preserve">《城市基础设施安全运行智慧监管系统数据标准》（DB32/T 4784-2024）（明确排水等数据标准）</w:t>
      </w:r>
      <w:r>
        <w:rPr>
          <w:rFonts w:hint="eastAsia" w:ascii="宋体" w:hAnsi="宋体" w:eastAsia="宋体" w:cs="Times New Roman"/>
          <w:color w:val="000000"/>
          <w:szCs w:val="22"/>
          <w:highlight w:val="none"/>
        </w:rPr>
      </w:r>
      <w:r/>
    </w:p>
    <w:p>
      <w:pPr>
        <w:pStyle w:val="973"/>
        <w:numPr>
          <w:ilvl w:val="0"/>
          <w:numId w:val="0"/>
        </w:numPr>
        <w:ind w:left="0"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四、项目需求</w:t>
      </w:r>
      <w:r>
        <w:rPr>
          <w:rFonts w:hint="eastAsia" w:ascii="宋体" w:hAnsi="宋体" w:eastAsia="宋体" w:cs="宋体"/>
          <w:b/>
          <w:bCs w:val="0"/>
          <w:sz w:val="21"/>
          <w:szCs w:val="21"/>
          <w:highlight w:val="none"/>
          <w:lang w:val="en-US" w:eastAsia="zh-CN" w:bidi="ar-SA"/>
        </w:rPr>
      </w:r>
      <w:r/>
    </w:p>
    <w:p>
      <w:pPr>
        <w:pStyle w:val="973"/>
        <w:ind w:left="0" w:firstLine="422"/>
        <w:pageBreakBefore w:val="0"/>
        <w:spacing w:line="440" w:lineRule="exact"/>
        <w:widowControl/>
        <w:rPr>
          <w:rFonts w:hint="eastAsia" w:ascii="宋体" w:hAnsi="宋体" w:eastAsia="宋体" w:cs="宋体"/>
          <w:b/>
          <w:bCs/>
          <w:sz w:val="21"/>
          <w:szCs w:val="21"/>
          <w:highlight w:val="none"/>
        </w:rPr>
      </w:pPr>
      <w:r/>
      <w:bookmarkStart w:id="56" w:name="_Toc19428"/>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业务需求</w:t>
      </w:r>
      <w:bookmarkEnd w:id="56"/>
      <w:r>
        <w:rPr>
          <w:rFonts w:hint="eastAsia" w:ascii="宋体" w:hAnsi="宋体" w:eastAsia="宋体" w:cs="宋体"/>
          <w:b/>
          <w:bCs/>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基于现状问题及未来发展方向，本项目需满足以下核心业务需求：</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（1）排水设施全生命周期管理需求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立覆盖规划、建设、运维、报废全过程的设施数字化档案，实现“一物一码”。需支持设施新增、变更、注销的实时更新，关联设计图纸、施工资料、检测报告、运维记录等，形成完整的时间轴。管理人员可随时查询任一设施的完整履历。</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（2）厂网河一体化调度需求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整合污水处理厂、泵站、管网、河道的水量、水质、水位数据，构建联合调度模型。在汛期，根据降雨预报和管网液位，智能优化泵站启停和闸门开度，提前预降河道水位；在平时，根据污水厂进水浓度，动态调整管网运行方式，保障污水处理效能。</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（3）内涝预警与应急指挥需求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于实时监测和历史数据，建立内涝风险预测模型，提前1小时预警高风险区域，并通过移动端、短信、大屏推送。应急指挥时，可一键查看现场视频、积水深度、周边资源（泵站、抢险队伍、物资），并下达调度指令，形成“监测-预警-调度-处置”闭环。</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（4）污染溯源与执法支撑需求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通过排水户排口水质监测和管网流量分析，自动识别异常排放行为（如偷排、混接），溯源污染源头，生成执法线索，推送至环保、城管等部门，实现精准执法。</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（5）日常运维精细化管理需求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对巡检、养护、维修等作业进行数字化管理。系统自动生成巡检计划，通过移动端派发任务，现场记录问题、上传照片，后台生成工单，跟踪处置进度。支持养护效果评估，如清淤前后管道过流能力对比。</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（6）数据资产沉淀与复用需求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将分散的历史数据和新增数据按统一标准治理入库，形成高质量的数据集，为后续的城市更新、规划编制、工程决策提供基础支撑，避免重复投入。</w:t>
      </w:r>
      <w:r>
        <w:rPr>
          <w:rFonts w:hint="eastAsia" w:ascii="宋体" w:hAnsi="宋体" w:eastAsia="宋体" w:cs="宋体"/>
          <w:sz w:val="21"/>
          <w:szCs w:val="21"/>
          <w:highlight w:val="none"/>
        </w:rPr>
      </w:r>
      <w:r/>
    </w:p>
    <w:p>
      <w:pPr>
        <w:pStyle w:val="973"/>
        <w:ind w:left="0" w:firstLine="422"/>
        <w:jc w:val="both"/>
        <w:keepLines/>
        <w:keepNext/>
        <w:pageBreakBefore w:val="0"/>
        <w:spacing w:before="0" w:after="0" w:line="440" w:lineRule="exact"/>
        <w:widowControl/>
        <w:rPr>
          <w:rFonts w:hint="eastAsia" w:ascii="宋体" w:hAnsi="宋体" w:eastAsia="宋体" w:cs="宋体"/>
          <w:b/>
          <w:bCs/>
          <w:sz w:val="21"/>
          <w:szCs w:val="21"/>
          <w:highlight w:val="none"/>
          <w:lang w:val="en-US" w:eastAsia="zh-CN" w:bidi="ar-SA"/>
        </w:rPr>
        <w:outlineLvl w:val="2"/>
      </w:pPr>
      <w:r/>
      <w:bookmarkStart w:id="57" w:name="_Toc29462"/>
      <w:r>
        <w:rPr>
          <w:rFonts w:hint="eastAsia" w:ascii="宋体" w:hAnsi="宋体" w:eastAsia="宋体" w:cs="宋体"/>
          <w:b/>
          <w:bCs/>
          <w:sz w:val="21"/>
          <w:szCs w:val="21"/>
          <w:highlight w:val="none"/>
          <w:lang w:val="en-US" w:eastAsia="zh-CN" w:bidi="ar-SA"/>
        </w:rPr>
        <w:t xml:space="preserve">2、用户需求</w:t>
      </w:r>
      <w:bookmarkEnd w:id="57"/>
      <w:r>
        <w:rPr>
          <w:rFonts w:hint="eastAsia" w:ascii="宋体" w:hAnsi="宋体" w:eastAsia="宋体" w:cs="宋体"/>
          <w:b/>
          <w:bCs/>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（1）决策领导（市政府、住建局领导）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需要宏观掌握全市排水安全态势，包括内涝风险等级、管网健康度、污水厂运行负荷、应急处置情况等。</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通过大屏直观展示核心指标，支持钻取查看各片区、各设施详情。</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获取季度/年度运行分析报告，为财政投入、政策制定提供依据。</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（2）管理人员（住建局、建阳市政管理人员）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需要“一张图”查看所有排水设施的位置、属性、实时状态，支持空间查询、统计。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能够查看报警信息、工单进度、养护计划执行情况，进行派单、审核、考核。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分析历史数据，优化调度方案和养护策略。</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（3）一线人员（巡检员、养护工、维修工）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能够查看设备历史记录、操作手册等。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接收预警信息，快速响应。</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（4）第三方（设计单位、施工单位）</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需要获取准确的现状排水数据（如管线位置、管径、高程）用于工程设计，减少现场勘探。  </w:t>
      </w:r>
      <w:r>
        <w:rPr>
          <w:rFonts w:hint="eastAsia" w:ascii="宋体" w:hAnsi="宋体" w:eastAsia="宋体" w:cs="宋体"/>
          <w:sz w:val="21"/>
          <w:szCs w:val="21"/>
          <w:highlight w:val="none"/>
        </w:rPr>
      </w:r>
      <w:r/>
    </w:p>
    <w:p>
      <w:pPr>
        <w:pStyle w:val="973"/>
        <w:ind w:left="0" w:firstLine="422"/>
        <w:jc w:val="both"/>
        <w:keepLines/>
        <w:keepNext/>
        <w:pageBreakBefore w:val="0"/>
        <w:spacing w:before="0" w:after="0" w:line="440" w:lineRule="exact"/>
        <w:widowControl/>
        <w:rPr>
          <w:rFonts w:hint="eastAsia" w:ascii="宋体" w:hAnsi="宋体" w:eastAsia="宋体" w:cs="宋体"/>
          <w:b/>
          <w:bCs w:val="0"/>
          <w:sz w:val="21"/>
          <w:szCs w:val="21"/>
          <w:highlight w:val="none"/>
          <w:lang w:val="en-US" w:eastAsia="zh-CN" w:bidi="ar-SA"/>
        </w:rPr>
        <w:outlineLvl w:val="2"/>
      </w:pPr>
      <w:r/>
      <w:bookmarkStart w:id="58" w:name="_Toc10688"/>
      <w:r>
        <w:rPr>
          <w:rFonts w:hint="eastAsia" w:ascii="宋体" w:hAnsi="宋体" w:eastAsia="宋体" w:cs="宋体"/>
          <w:b/>
          <w:bCs w:val="0"/>
          <w:sz w:val="21"/>
          <w:szCs w:val="21"/>
          <w:highlight w:val="none"/>
          <w:lang w:val="en-US" w:eastAsia="zh-CN" w:bidi="ar-SA"/>
        </w:rPr>
        <w:t xml:space="preserve">3、功能需求</w:t>
      </w:r>
      <w:bookmarkEnd w:id="58"/>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本项目功能需求如下：</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（1）排水综合管理专项平台（GIS综合管理平台）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涉水资产GIS一张图：分层展示河湖、入河排口、排水户排口、雨水箅、检查井、管线、泵站、闸阀、污水处理厂等，支持点击查看详情。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扩展专题图层：管网病害等级、雨污混接点、历史积涝点、整改范围、涉水建设项目等，支持状态过滤（如已解决/待解决）。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数据报告：自动生成水质、液位、检测、流量、溯源、巡查等报告，支持导出PDF/Excel。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大屏分析：排水户分析大屏、入河排口分析大屏、管网高程分析大屏、泵站分析大屏、污水厂分析大屏，展示关键指标、趋势图表。</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（2）数据分析服务平台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预警管理：液位预警、流量预警、水质预警，支持阈值设置、审核、统计分析。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风险诊断：管网雨污混接识别、淤积诊断、溢流风险诊断、渗漏预警。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溯源分析：向上游追溯异常来源，支持三级溯源。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算法服务：监测设备健康评估、污水厂进水浓度评估、流量突变阈值算法、管网溢流识别等8类算法模型。</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（3）外部系统对接</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生命线工程平台：获取排水设施基础信息、实时监测数据、预警告警信息，上报处置结果。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泵站监测数据：获取泵站PLC数据（流量、液位、启停状态）。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政务数据：向相关部门获取获取气象、水文、地理信息。</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（4）硬件直接对接</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现有采集网关支持Modbus RTU/TCP、OPC UA等多种协议，将既有设备数据统一接入平台。本项目新增设备则直接接入平台</w:t>
      </w:r>
      <w:r>
        <w:rPr>
          <w:rFonts w:hint="eastAsia" w:ascii="宋体" w:hAnsi="宋体" w:eastAsia="宋体" w:cs="宋体"/>
          <w:sz w:val="21"/>
          <w:szCs w:val="21"/>
          <w:highlight w:val="none"/>
        </w:rPr>
      </w:r>
      <w:r/>
    </w:p>
    <w:p>
      <w:pPr>
        <w:pStyle w:val="973"/>
        <w:ind w:left="0" w:firstLine="422"/>
        <w:jc w:val="both"/>
        <w:keepLines/>
        <w:keepNext/>
        <w:pageBreakBefore w:val="0"/>
        <w:spacing w:before="0" w:after="0" w:line="440" w:lineRule="exact"/>
        <w:widowControl/>
        <w:rPr>
          <w:rFonts w:hint="eastAsia" w:ascii="宋体" w:hAnsi="宋体" w:eastAsia="宋体" w:cs="宋体"/>
          <w:b/>
          <w:bCs w:val="0"/>
          <w:sz w:val="21"/>
          <w:szCs w:val="21"/>
          <w:highlight w:val="none"/>
          <w:lang w:val="en-US" w:eastAsia="zh-CN" w:bidi="ar-SA"/>
        </w:rPr>
        <w:outlineLvl w:val="2"/>
      </w:pPr>
      <w:r/>
      <w:bookmarkStart w:id="59" w:name="_Toc18992"/>
      <w:r>
        <w:rPr>
          <w:rFonts w:hint="eastAsia" w:ascii="宋体" w:hAnsi="宋体" w:eastAsia="宋体" w:cs="宋体"/>
          <w:b/>
          <w:bCs w:val="0"/>
          <w:sz w:val="21"/>
          <w:szCs w:val="21"/>
          <w:highlight w:val="none"/>
          <w:lang w:val="en-US" w:eastAsia="zh-CN" w:bidi="ar-SA"/>
        </w:rPr>
        <w:t xml:space="preserve">4、运行环境需求</w:t>
      </w:r>
      <w:bookmarkEnd w:id="59"/>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（1）网络环境需求</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平台核心部分部署于政务云，满足安全可靠要求、实现与外部系统对接，带宽不低于100Mbps，并具备冗余备份。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泵站现场网络采用工业以太网，通过4G VPN专网方式，并通过堡垒机接入平台，保障实时数据传输稳定。</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本项目新建的液位计等设备通过4G VPN专网方式接入平台，保障实时数据传输稳定。</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（2）云主机需求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本项目需配置云主机5台，由政务云提供，包括应用服务器、数据库服务器、GIS服务器、报表服务器、堡垒机各1台。</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要求云主机符合安全可靠要求，包括服务器芯片、操作系统、数据库等符合国家安全可靠标准。</w:t>
      </w:r>
      <w:r>
        <w:rPr>
          <w:rFonts w:hint="eastAsia" w:ascii="宋体" w:hAnsi="宋体" w:eastAsia="宋体" w:cs="宋体"/>
          <w:sz w:val="21"/>
          <w:szCs w:val="21"/>
          <w:highlight w:val="none"/>
        </w:rPr>
      </w:r>
      <w:r/>
    </w:p>
    <w:p>
      <w:pPr>
        <w:pStyle w:val="973"/>
        <w:ind w:left="0" w:firstLine="422"/>
        <w:jc w:val="both"/>
        <w:keepLines/>
        <w:keepNext/>
        <w:pageBreakBefore w:val="0"/>
        <w:spacing w:before="0" w:after="0" w:line="440" w:lineRule="exact"/>
        <w:widowControl/>
        <w:rPr>
          <w:rFonts w:hint="eastAsia" w:ascii="宋体" w:hAnsi="宋体" w:eastAsia="宋体" w:cs="宋体"/>
          <w:b/>
          <w:bCs w:val="0"/>
          <w:sz w:val="21"/>
          <w:szCs w:val="21"/>
          <w:highlight w:val="none"/>
          <w:lang w:val="en-US" w:eastAsia="zh-CN" w:bidi="ar-SA"/>
        </w:rPr>
        <w:outlineLvl w:val="2"/>
      </w:pPr>
      <w:r/>
      <w:bookmarkStart w:id="60" w:name="_Toc6"/>
      <w:r>
        <w:rPr>
          <w:rFonts w:hint="eastAsia" w:ascii="宋体" w:hAnsi="宋体" w:eastAsia="宋体" w:cs="宋体"/>
          <w:b/>
          <w:bCs w:val="0"/>
          <w:sz w:val="21"/>
          <w:szCs w:val="21"/>
          <w:highlight w:val="none"/>
          <w:lang w:val="en-US" w:eastAsia="zh-CN" w:bidi="ar-SA"/>
        </w:rPr>
        <w:t xml:space="preserve">5、数据资源需求</w:t>
      </w:r>
      <w:bookmarkEnd w:id="60"/>
      <w:r>
        <w:rPr>
          <w:rFonts w:hint="eastAsia" w:ascii="宋体" w:hAnsi="宋体" w:eastAsia="宋体" w:cs="宋体"/>
          <w:b/>
          <w:bCs w:val="0"/>
          <w:sz w:val="21"/>
          <w:szCs w:val="21"/>
          <w:highlight w:val="none"/>
          <w:lang w:val="en-US" w:eastAsia="zh-CN" w:bidi="ar-SA"/>
        </w:rPr>
      </w:r>
      <w:r/>
    </w:p>
    <w:p>
      <w:pPr>
        <w:pStyle w:val="973"/>
        <w:ind w:left="0" w:firstLine="420"/>
        <w:keepLines w:val="0"/>
        <w:keepNext w:val="0"/>
        <w:pageBreakBefore w:val="0"/>
        <w:spacing w:after="161"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本项目需汇聚多源数据，具体需求包括如下：</w:t>
      </w:r>
      <w:r>
        <w:rPr>
          <w:rFonts w:hint="eastAsia" w:ascii="宋体" w:hAnsi="宋体" w:eastAsia="宋体" w:cs="宋体"/>
          <w:sz w:val="21"/>
          <w:szCs w:val="21"/>
          <w:highlight w:val="none"/>
        </w:rPr>
      </w:r>
      <w:r/>
    </w:p>
    <w:tbl>
      <w:tblPr>
        <w:tblW w:w="923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2352"/>
        <w:gridCol w:w="1976"/>
        <w:gridCol w:w="2022"/>
        <w:gridCol w:w="1224"/>
      </w:tblGrid>
      <w:tr>
        <w:trPr>
          <w:trHeight w:val="509"/>
        </w:trPr>
        <w:tc>
          <w:tcPr>
            <w:tcW w:w="166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数据类别</w:t>
            </w:r>
            <w:r>
              <w:rPr>
                <w:rFonts w:hint="eastAsia" w:ascii="宋体" w:hAnsi="宋体" w:eastAsia="宋体" w:cs="宋体"/>
                <w:b/>
                <w:bCs/>
                <w:color w:val="000000"/>
                <w:sz w:val="21"/>
                <w:szCs w:val="21"/>
                <w:highlight w:val="none"/>
              </w:rPr>
            </w:r>
            <w:r/>
          </w:p>
        </w:tc>
        <w:tc>
          <w:tcPr>
            <w:tcW w:w="235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数据项</w:t>
            </w:r>
            <w:r>
              <w:rPr>
                <w:rFonts w:hint="eastAsia" w:ascii="宋体" w:hAnsi="宋体" w:eastAsia="宋体" w:cs="宋体"/>
                <w:b/>
                <w:bCs/>
                <w:color w:val="000000"/>
                <w:sz w:val="21"/>
                <w:szCs w:val="21"/>
                <w:highlight w:val="none"/>
              </w:rPr>
            </w:r>
            <w:r/>
          </w:p>
        </w:tc>
        <w:tc>
          <w:tcPr>
            <w:tcW w:w="197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来源单位</w:t>
            </w:r>
            <w:r>
              <w:rPr>
                <w:rFonts w:hint="eastAsia" w:ascii="宋体" w:hAnsi="宋体" w:eastAsia="宋体" w:cs="宋体"/>
                <w:b/>
                <w:bCs/>
                <w:color w:val="000000"/>
                <w:sz w:val="21"/>
                <w:szCs w:val="21"/>
                <w:highlight w:val="none"/>
              </w:rPr>
            </w:r>
            <w:r/>
          </w:p>
        </w:tc>
        <w:tc>
          <w:tcPr>
            <w:tcW w:w="20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获取方式</w:t>
            </w:r>
            <w:r>
              <w:rPr>
                <w:rFonts w:hint="eastAsia" w:ascii="宋体" w:hAnsi="宋体" w:eastAsia="宋体" w:cs="宋体"/>
                <w:b/>
                <w:bCs/>
                <w:color w:val="000000"/>
                <w:sz w:val="21"/>
                <w:szCs w:val="21"/>
                <w:highlight w:val="none"/>
              </w:rPr>
            </w:r>
            <w:r/>
          </w:p>
        </w:tc>
        <w:tc>
          <w:tcPr>
            <w:tcW w:w="122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更新频率</w:t>
            </w:r>
            <w:r>
              <w:rPr>
                <w:rFonts w:hint="eastAsia" w:ascii="宋体" w:hAnsi="宋体" w:eastAsia="宋体" w:cs="宋体"/>
                <w:b/>
                <w:bCs/>
                <w:color w:val="000000"/>
                <w:sz w:val="21"/>
                <w:szCs w:val="21"/>
                <w:highlight w:val="none"/>
              </w:rPr>
            </w:r>
            <w:r/>
          </w:p>
        </w:tc>
      </w:tr>
      <w:tr>
        <w:trPr>
          <w:trHeight w:val="738"/>
        </w:trPr>
        <w:tc>
          <w:tcPr>
            <w:tcW w:w="166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基础地理</w:t>
            </w:r>
            <w:r>
              <w:rPr>
                <w:rFonts w:hint="eastAsia" w:ascii="宋体" w:hAnsi="宋体" w:eastAsia="宋体" w:cs="宋体"/>
                <w:color w:val="000000"/>
                <w:sz w:val="21"/>
                <w:szCs w:val="21"/>
                <w:highlight w:val="none"/>
              </w:rPr>
            </w:r>
            <w:r/>
          </w:p>
        </w:tc>
        <w:tc>
          <w:tcPr>
            <w:tcW w:w="235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行政区划、道路、影像、地名地址</w:t>
            </w:r>
            <w:r>
              <w:rPr>
                <w:rFonts w:hint="eastAsia" w:ascii="宋体" w:hAnsi="宋体" w:eastAsia="宋体" w:cs="宋体"/>
                <w:color w:val="000000"/>
                <w:sz w:val="21"/>
                <w:szCs w:val="21"/>
                <w:highlight w:val="none"/>
              </w:rPr>
            </w:r>
            <w:r/>
          </w:p>
        </w:tc>
        <w:tc>
          <w:tcPr>
            <w:tcW w:w="197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自然资源和规划局</w:t>
            </w:r>
            <w:r>
              <w:rPr>
                <w:rFonts w:hint="eastAsia" w:ascii="宋体" w:hAnsi="宋体" w:eastAsia="宋体" w:cs="宋体"/>
                <w:color w:val="000000"/>
                <w:sz w:val="21"/>
                <w:szCs w:val="21"/>
                <w:highlight w:val="none"/>
              </w:rPr>
            </w:r>
            <w:r/>
          </w:p>
        </w:tc>
        <w:tc>
          <w:tcPr>
            <w:tcW w:w="20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接口调用</w:t>
            </w:r>
            <w:r>
              <w:rPr>
                <w:rFonts w:hint="eastAsia" w:ascii="宋体" w:hAnsi="宋体" w:eastAsia="宋体" w:cs="宋体"/>
                <w:color w:val="000000"/>
                <w:sz w:val="21"/>
                <w:szCs w:val="21"/>
                <w:highlight w:val="none"/>
              </w:rPr>
            </w:r>
            <w:r/>
          </w:p>
        </w:tc>
        <w:tc>
          <w:tcPr>
            <w:tcW w:w="122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每年</w:t>
            </w:r>
            <w:r>
              <w:rPr>
                <w:rFonts w:hint="eastAsia" w:ascii="宋体" w:hAnsi="宋体" w:eastAsia="宋体" w:cs="宋体"/>
                <w:color w:val="000000"/>
                <w:sz w:val="21"/>
                <w:szCs w:val="21"/>
                <w:highlight w:val="none"/>
              </w:rPr>
            </w:r>
            <w:r/>
          </w:p>
        </w:tc>
      </w:tr>
      <w:tr>
        <w:trPr>
          <w:trHeight w:val="569"/>
        </w:trPr>
        <w:tc>
          <w:tcPr>
            <w:tcW w:w="166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气象数据</w:t>
            </w:r>
            <w:r>
              <w:rPr>
                <w:rFonts w:hint="eastAsia" w:ascii="宋体" w:hAnsi="宋体" w:eastAsia="宋体" w:cs="宋体"/>
                <w:color w:val="000000"/>
                <w:sz w:val="21"/>
                <w:szCs w:val="21"/>
                <w:highlight w:val="none"/>
              </w:rPr>
            </w:r>
            <w:r/>
          </w:p>
        </w:tc>
        <w:tc>
          <w:tcPr>
            <w:tcW w:w="235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降雨预报、实况降雨</w:t>
            </w:r>
            <w:r>
              <w:rPr>
                <w:rFonts w:hint="eastAsia" w:ascii="宋体" w:hAnsi="宋体" w:eastAsia="宋体" w:cs="宋体"/>
                <w:color w:val="000000"/>
                <w:sz w:val="21"/>
                <w:szCs w:val="21"/>
                <w:highlight w:val="none"/>
              </w:rPr>
            </w:r>
            <w:r/>
          </w:p>
        </w:tc>
        <w:tc>
          <w:tcPr>
            <w:tcW w:w="197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气象局</w:t>
            </w:r>
            <w:r>
              <w:rPr>
                <w:rFonts w:hint="eastAsia" w:ascii="宋体" w:hAnsi="宋体" w:eastAsia="宋体" w:cs="宋体"/>
                <w:color w:val="000000"/>
                <w:sz w:val="21"/>
                <w:szCs w:val="21"/>
                <w:highlight w:val="none"/>
              </w:rPr>
            </w:r>
            <w:r/>
          </w:p>
        </w:tc>
        <w:tc>
          <w:tcPr>
            <w:tcW w:w="20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接口调用</w:t>
            </w:r>
            <w:r>
              <w:rPr>
                <w:rFonts w:hint="eastAsia" w:ascii="宋体" w:hAnsi="宋体" w:eastAsia="宋体" w:cs="宋体"/>
                <w:color w:val="000000"/>
                <w:sz w:val="21"/>
                <w:szCs w:val="21"/>
                <w:highlight w:val="none"/>
              </w:rPr>
            </w:r>
            <w:r/>
          </w:p>
        </w:tc>
        <w:tc>
          <w:tcPr>
            <w:tcW w:w="122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每小时</w:t>
            </w:r>
            <w:r>
              <w:rPr>
                <w:rFonts w:hint="eastAsia" w:ascii="宋体" w:hAnsi="宋体" w:eastAsia="宋体" w:cs="宋体"/>
                <w:color w:val="000000"/>
                <w:sz w:val="21"/>
                <w:szCs w:val="21"/>
                <w:highlight w:val="none"/>
              </w:rPr>
            </w:r>
            <w:r/>
          </w:p>
        </w:tc>
      </w:tr>
      <w:tr>
        <w:trPr>
          <w:trHeight w:val="569"/>
        </w:trPr>
        <w:tc>
          <w:tcPr>
            <w:tcW w:w="166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水文数据</w:t>
            </w:r>
            <w:r>
              <w:rPr>
                <w:rFonts w:hint="eastAsia" w:ascii="宋体" w:hAnsi="宋体" w:eastAsia="宋体" w:cs="宋体"/>
                <w:color w:val="000000"/>
                <w:sz w:val="21"/>
                <w:szCs w:val="21"/>
                <w:highlight w:val="none"/>
              </w:rPr>
            </w:r>
            <w:r/>
          </w:p>
        </w:tc>
        <w:tc>
          <w:tcPr>
            <w:tcW w:w="235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河道水位、流量</w:t>
            </w:r>
            <w:r>
              <w:rPr>
                <w:rFonts w:hint="eastAsia" w:ascii="宋体" w:hAnsi="宋体" w:eastAsia="宋体" w:cs="宋体"/>
                <w:color w:val="000000"/>
                <w:sz w:val="21"/>
                <w:szCs w:val="21"/>
                <w:highlight w:val="none"/>
              </w:rPr>
            </w:r>
            <w:r/>
          </w:p>
        </w:tc>
        <w:tc>
          <w:tcPr>
            <w:tcW w:w="197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水利局</w:t>
            </w:r>
            <w:r>
              <w:rPr>
                <w:rFonts w:hint="eastAsia" w:ascii="宋体" w:hAnsi="宋体" w:eastAsia="宋体" w:cs="宋体"/>
                <w:color w:val="000000"/>
                <w:sz w:val="21"/>
                <w:szCs w:val="21"/>
                <w:highlight w:val="none"/>
              </w:rPr>
            </w:r>
            <w:r/>
          </w:p>
        </w:tc>
        <w:tc>
          <w:tcPr>
            <w:tcW w:w="20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接口调用</w:t>
            </w:r>
            <w:r>
              <w:rPr>
                <w:rFonts w:hint="eastAsia" w:ascii="宋体" w:hAnsi="宋体" w:eastAsia="宋体" w:cs="宋体"/>
                <w:color w:val="000000"/>
                <w:sz w:val="21"/>
                <w:szCs w:val="21"/>
                <w:highlight w:val="none"/>
              </w:rPr>
            </w:r>
            <w:r/>
          </w:p>
        </w:tc>
        <w:tc>
          <w:tcPr>
            <w:tcW w:w="122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实时</w:t>
            </w:r>
            <w:r>
              <w:rPr>
                <w:rFonts w:hint="eastAsia" w:ascii="宋体" w:hAnsi="宋体" w:eastAsia="宋体" w:cs="宋体"/>
                <w:color w:val="000000"/>
                <w:sz w:val="21"/>
                <w:szCs w:val="21"/>
                <w:highlight w:val="none"/>
              </w:rPr>
            </w:r>
            <w:r/>
          </w:p>
        </w:tc>
      </w:tr>
      <w:tr>
        <w:trPr>
          <w:trHeight w:val="569"/>
        </w:trPr>
        <w:tc>
          <w:tcPr>
            <w:tcW w:w="166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排水设施</w:t>
            </w:r>
            <w:r>
              <w:rPr>
                <w:rFonts w:hint="eastAsia" w:ascii="宋体" w:hAnsi="宋体" w:eastAsia="宋体" w:cs="宋体"/>
                <w:color w:val="000000"/>
                <w:sz w:val="21"/>
                <w:szCs w:val="21"/>
                <w:highlight w:val="none"/>
              </w:rPr>
            </w:r>
            <w:r/>
          </w:p>
        </w:tc>
        <w:tc>
          <w:tcPr>
            <w:tcW w:w="235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管网、泵站、排口属性</w:t>
            </w:r>
            <w:r>
              <w:rPr>
                <w:rFonts w:hint="eastAsia" w:ascii="宋体" w:hAnsi="宋体" w:eastAsia="宋体" w:cs="宋体"/>
                <w:color w:val="000000"/>
                <w:sz w:val="21"/>
                <w:szCs w:val="21"/>
                <w:highlight w:val="none"/>
              </w:rPr>
            </w:r>
            <w:r/>
          </w:p>
        </w:tc>
        <w:tc>
          <w:tcPr>
            <w:tcW w:w="197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住建局、建阳市政</w:t>
            </w:r>
            <w:r>
              <w:rPr>
                <w:rFonts w:hint="eastAsia" w:ascii="宋体" w:hAnsi="宋体" w:eastAsia="宋体" w:cs="宋体"/>
                <w:color w:val="000000"/>
                <w:sz w:val="21"/>
                <w:szCs w:val="21"/>
                <w:highlight w:val="none"/>
              </w:rPr>
            </w:r>
            <w:r/>
          </w:p>
        </w:tc>
        <w:tc>
          <w:tcPr>
            <w:tcW w:w="20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批量导入+人工录入</w:t>
            </w:r>
            <w:r>
              <w:rPr>
                <w:rFonts w:hint="eastAsia" w:ascii="宋体" w:hAnsi="宋体" w:eastAsia="宋体" w:cs="宋体"/>
                <w:color w:val="000000"/>
                <w:sz w:val="21"/>
                <w:szCs w:val="21"/>
                <w:highlight w:val="none"/>
              </w:rPr>
            </w:r>
            <w:r/>
          </w:p>
        </w:tc>
        <w:tc>
          <w:tcPr>
            <w:tcW w:w="122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实时/季度</w:t>
            </w:r>
            <w:r>
              <w:rPr>
                <w:rFonts w:hint="eastAsia" w:ascii="宋体" w:hAnsi="宋体" w:eastAsia="宋体" w:cs="宋体"/>
                <w:color w:val="000000"/>
                <w:sz w:val="21"/>
                <w:szCs w:val="21"/>
                <w:highlight w:val="none"/>
              </w:rPr>
            </w:r>
            <w:r/>
          </w:p>
        </w:tc>
      </w:tr>
      <w:tr>
        <w:trPr>
          <w:trHeight w:val="704"/>
        </w:trPr>
        <w:tc>
          <w:tcPr>
            <w:tcW w:w="166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监测数据</w:t>
            </w:r>
            <w:r>
              <w:rPr>
                <w:rFonts w:hint="eastAsia" w:ascii="宋体" w:hAnsi="宋体" w:eastAsia="宋体" w:cs="宋体"/>
                <w:color w:val="000000"/>
                <w:sz w:val="21"/>
                <w:szCs w:val="21"/>
                <w:highlight w:val="none"/>
              </w:rPr>
            </w:r>
            <w:r/>
          </w:p>
        </w:tc>
        <w:tc>
          <w:tcPr>
            <w:tcW w:w="235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液位、流量、水质、视频</w:t>
            </w:r>
            <w:r>
              <w:rPr>
                <w:rFonts w:hint="eastAsia" w:ascii="宋体" w:hAnsi="宋体" w:eastAsia="宋体" w:cs="宋体"/>
                <w:color w:val="000000"/>
                <w:sz w:val="21"/>
                <w:szCs w:val="21"/>
                <w:highlight w:val="none"/>
              </w:rPr>
            </w:r>
            <w:r/>
          </w:p>
        </w:tc>
        <w:tc>
          <w:tcPr>
            <w:tcW w:w="197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生命线工程、环保局</w:t>
            </w:r>
            <w:r>
              <w:rPr>
                <w:rFonts w:hint="eastAsia" w:ascii="宋体" w:hAnsi="宋体" w:eastAsia="宋体" w:cs="宋体"/>
                <w:color w:val="000000"/>
                <w:sz w:val="21"/>
                <w:szCs w:val="21"/>
                <w:highlight w:val="none"/>
              </w:rPr>
            </w:r>
            <w:r/>
          </w:p>
        </w:tc>
        <w:tc>
          <w:tcPr>
            <w:tcW w:w="20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接口调用</w:t>
            </w:r>
            <w:r>
              <w:rPr>
                <w:rFonts w:hint="eastAsia" w:ascii="宋体" w:hAnsi="宋体" w:eastAsia="宋体" w:cs="宋体"/>
                <w:color w:val="000000"/>
                <w:sz w:val="21"/>
                <w:szCs w:val="21"/>
                <w:highlight w:val="none"/>
              </w:rPr>
            </w:r>
            <w:r/>
          </w:p>
        </w:tc>
        <w:tc>
          <w:tcPr>
            <w:tcW w:w="122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实时</w:t>
            </w:r>
            <w:r>
              <w:rPr>
                <w:rFonts w:hint="eastAsia" w:ascii="宋体" w:hAnsi="宋体" w:eastAsia="宋体" w:cs="宋体"/>
                <w:color w:val="000000"/>
                <w:sz w:val="21"/>
                <w:szCs w:val="21"/>
                <w:highlight w:val="none"/>
              </w:rPr>
            </w:r>
            <w:r/>
          </w:p>
        </w:tc>
      </w:tr>
      <w:tr>
        <w:trPr>
          <w:trHeight w:val="561"/>
        </w:trPr>
        <w:tc>
          <w:tcPr>
            <w:tcW w:w="166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排水许可</w:t>
            </w:r>
            <w:r>
              <w:rPr>
                <w:rFonts w:hint="eastAsia" w:ascii="宋体" w:hAnsi="宋体" w:eastAsia="宋体" w:cs="宋体"/>
                <w:color w:val="000000"/>
                <w:sz w:val="21"/>
                <w:szCs w:val="21"/>
                <w:highlight w:val="none"/>
              </w:rPr>
            </w:r>
            <w:r/>
          </w:p>
        </w:tc>
        <w:tc>
          <w:tcPr>
            <w:tcW w:w="235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排水户信息、许可证</w:t>
            </w:r>
            <w:r>
              <w:rPr>
                <w:rFonts w:hint="eastAsia" w:ascii="宋体" w:hAnsi="宋体" w:eastAsia="宋体" w:cs="宋体"/>
                <w:color w:val="000000"/>
                <w:sz w:val="21"/>
                <w:szCs w:val="21"/>
                <w:highlight w:val="none"/>
              </w:rPr>
            </w:r>
            <w:r/>
          </w:p>
        </w:tc>
        <w:tc>
          <w:tcPr>
            <w:tcW w:w="197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数据局</w:t>
            </w:r>
            <w:r>
              <w:rPr>
                <w:rFonts w:hint="eastAsia" w:ascii="宋体" w:hAnsi="宋体" w:eastAsia="宋体" w:cs="宋体"/>
                <w:color w:val="000000"/>
                <w:sz w:val="21"/>
                <w:szCs w:val="21"/>
                <w:highlight w:val="none"/>
              </w:rPr>
            </w:r>
            <w:r/>
          </w:p>
        </w:tc>
        <w:tc>
          <w:tcPr>
            <w:tcW w:w="20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接口调用</w:t>
            </w:r>
            <w:r>
              <w:rPr>
                <w:rFonts w:hint="eastAsia" w:ascii="宋体" w:hAnsi="宋体" w:eastAsia="宋体" w:cs="宋体"/>
                <w:color w:val="000000"/>
                <w:sz w:val="21"/>
                <w:szCs w:val="21"/>
                <w:highlight w:val="none"/>
              </w:rPr>
            </w:r>
            <w:r/>
          </w:p>
        </w:tc>
        <w:tc>
          <w:tcPr>
            <w:tcW w:w="122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实时</w:t>
            </w:r>
            <w:r>
              <w:rPr>
                <w:rFonts w:hint="eastAsia" w:ascii="宋体" w:hAnsi="宋体" w:eastAsia="宋体" w:cs="宋体"/>
                <w:color w:val="000000"/>
                <w:sz w:val="21"/>
                <w:szCs w:val="21"/>
                <w:highlight w:val="none"/>
              </w:rPr>
            </w:r>
            <w:r/>
          </w:p>
        </w:tc>
      </w:tr>
      <w:tr>
        <w:trPr>
          <w:trHeight w:val="561"/>
        </w:trPr>
        <w:tc>
          <w:tcPr>
            <w:tcW w:w="166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应急资源</w:t>
            </w:r>
            <w:r>
              <w:rPr>
                <w:rFonts w:hint="eastAsia" w:ascii="宋体" w:hAnsi="宋体" w:eastAsia="宋体" w:cs="宋体"/>
                <w:color w:val="000000"/>
                <w:sz w:val="21"/>
                <w:szCs w:val="21"/>
                <w:highlight w:val="none"/>
              </w:rPr>
            </w:r>
            <w:r/>
          </w:p>
        </w:tc>
        <w:tc>
          <w:tcPr>
            <w:tcW w:w="235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抢险队伍、物资、设备</w:t>
            </w:r>
            <w:r>
              <w:rPr>
                <w:rFonts w:hint="eastAsia" w:ascii="宋体" w:hAnsi="宋体" w:eastAsia="宋体" w:cs="宋体"/>
                <w:color w:val="000000"/>
                <w:sz w:val="21"/>
                <w:szCs w:val="21"/>
                <w:highlight w:val="none"/>
              </w:rPr>
            </w:r>
            <w:r/>
          </w:p>
        </w:tc>
        <w:tc>
          <w:tcPr>
            <w:tcW w:w="197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应急局</w:t>
            </w:r>
            <w:r>
              <w:rPr>
                <w:rFonts w:hint="eastAsia" w:ascii="宋体" w:hAnsi="宋体" w:eastAsia="宋体" w:cs="宋体"/>
                <w:color w:val="000000"/>
                <w:sz w:val="21"/>
                <w:szCs w:val="21"/>
                <w:highlight w:val="none"/>
              </w:rPr>
            </w:r>
            <w:r/>
          </w:p>
        </w:tc>
        <w:tc>
          <w:tcPr>
            <w:tcW w:w="20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接口调用</w:t>
            </w:r>
            <w:r>
              <w:rPr>
                <w:rFonts w:hint="eastAsia" w:ascii="宋体" w:hAnsi="宋体" w:eastAsia="宋体" w:cs="宋体"/>
                <w:color w:val="000000"/>
                <w:sz w:val="21"/>
                <w:szCs w:val="21"/>
                <w:highlight w:val="none"/>
              </w:rPr>
            </w:r>
            <w:r/>
          </w:p>
        </w:tc>
        <w:tc>
          <w:tcPr>
            <w:tcW w:w="122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每季度</w:t>
            </w:r>
            <w:r>
              <w:rPr>
                <w:rFonts w:hint="eastAsia" w:ascii="宋体" w:hAnsi="宋体" w:eastAsia="宋体" w:cs="宋体"/>
                <w:color w:val="000000"/>
                <w:sz w:val="21"/>
                <w:szCs w:val="21"/>
                <w:highlight w:val="none"/>
              </w:rPr>
            </w:r>
            <w:r/>
          </w:p>
        </w:tc>
      </w:tr>
      <w:tr>
        <w:trPr>
          <w:trHeight w:val="783"/>
        </w:trPr>
        <w:tc>
          <w:tcPr>
            <w:tcW w:w="166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工程档案</w:t>
            </w:r>
            <w:r>
              <w:rPr>
                <w:rFonts w:hint="eastAsia" w:ascii="宋体" w:hAnsi="宋体" w:eastAsia="宋体" w:cs="宋体"/>
                <w:color w:val="000000"/>
                <w:sz w:val="21"/>
                <w:szCs w:val="21"/>
                <w:highlight w:val="none"/>
              </w:rPr>
            </w:r>
            <w:r/>
          </w:p>
        </w:tc>
        <w:tc>
          <w:tcPr>
            <w:tcW w:w="235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设计图纸、竣工资料、CCTV视频</w:t>
            </w:r>
            <w:r>
              <w:rPr>
                <w:rFonts w:hint="eastAsia" w:ascii="宋体" w:hAnsi="宋体" w:eastAsia="宋体" w:cs="宋体"/>
                <w:color w:val="000000"/>
                <w:sz w:val="21"/>
                <w:szCs w:val="21"/>
                <w:highlight w:val="none"/>
              </w:rPr>
            </w:r>
            <w:r/>
          </w:p>
        </w:tc>
        <w:tc>
          <w:tcPr>
            <w:tcW w:w="197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住建局、城发集团</w:t>
            </w:r>
            <w:r>
              <w:rPr>
                <w:rFonts w:hint="eastAsia" w:ascii="宋体" w:hAnsi="宋体" w:eastAsia="宋体" w:cs="宋体"/>
                <w:color w:val="000000"/>
                <w:sz w:val="21"/>
                <w:szCs w:val="21"/>
                <w:highlight w:val="none"/>
              </w:rPr>
            </w:r>
            <w:r/>
          </w:p>
        </w:tc>
        <w:tc>
          <w:tcPr>
            <w:tcW w:w="20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批量导入</w:t>
            </w:r>
            <w:r>
              <w:rPr>
                <w:rFonts w:hint="eastAsia" w:ascii="宋体" w:hAnsi="宋体" w:eastAsia="宋体" w:cs="宋体"/>
                <w:color w:val="000000"/>
                <w:sz w:val="21"/>
                <w:szCs w:val="21"/>
                <w:highlight w:val="none"/>
              </w:rPr>
            </w:r>
            <w:r/>
          </w:p>
        </w:tc>
        <w:tc>
          <w:tcPr>
            <w:tcW w:w="122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项目完成后</w:t>
            </w:r>
            <w:r>
              <w:rPr>
                <w:rFonts w:hint="eastAsia" w:ascii="宋体" w:hAnsi="宋体" w:eastAsia="宋体" w:cs="宋体"/>
                <w:color w:val="000000"/>
                <w:sz w:val="21"/>
                <w:szCs w:val="21"/>
                <w:highlight w:val="none"/>
              </w:rPr>
            </w:r>
            <w:r/>
          </w:p>
        </w:tc>
      </w:tr>
    </w:tbl>
    <w:p>
      <w:pPr>
        <w:pStyle w:val="973"/>
        <w:ind w:left="0" w:firstLine="422"/>
        <w:jc w:val="both"/>
        <w:keepLines/>
        <w:keepNext/>
        <w:pageBreakBefore w:val="0"/>
        <w:spacing w:before="0" w:after="0" w:line="440" w:lineRule="exact"/>
        <w:widowControl/>
        <w:rPr>
          <w:rFonts w:hint="eastAsia" w:ascii="宋体" w:hAnsi="宋体" w:eastAsia="宋体" w:cs="宋体"/>
          <w:b/>
          <w:bCs w:val="0"/>
          <w:sz w:val="21"/>
          <w:szCs w:val="21"/>
          <w:highlight w:val="none"/>
          <w:lang w:val="en-US" w:eastAsia="zh-CN" w:bidi="ar-SA"/>
        </w:rPr>
        <w:outlineLvl w:val="2"/>
      </w:pPr>
      <w:r/>
      <w:bookmarkStart w:id="61" w:name="_Toc11206"/>
      <w:r>
        <w:rPr>
          <w:rFonts w:hint="eastAsia" w:ascii="宋体" w:hAnsi="宋体" w:eastAsia="宋体" w:cs="宋体"/>
          <w:b/>
          <w:bCs w:val="0"/>
          <w:sz w:val="21"/>
          <w:szCs w:val="21"/>
          <w:highlight w:val="none"/>
          <w:lang w:val="en-US" w:eastAsia="zh-CN" w:bidi="ar-SA"/>
        </w:rPr>
        <w:t xml:space="preserve">6、性能需求</w:t>
      </w:r>
      <w:bookmarkEnd w:id="61"/>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并发能力：系统支持不少于200用户同时在线，峰值并发不低于500。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响应时间：页面加载时间≤3秒，GIS地图加载≤2秒，数据查询≤5秒。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采集频率：监测数据采集频率≤5分钟，极端天气下可加密至1分钟。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预警延迟：从数据采集到预警推送≤30秒。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可靠性：系统7×24小时连续运行，年可用率≥99.5%。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存储容量：支持至少5年监测数据在线查询，历史数据可归档。</w:t>
      </w:r>
      <w:r>
        <w:rPr>
          <w:rFonts w:hint="eastAsia" w:ascii="宋体" w:hAnsi="宋体" w:eastAsia="宋体" w:cs="宋体"/>
          <w:sz w:val="21"/>
          <w:szCs w:val="21"/>
          <w:highlight w:val="none"/>
        </w:rPr>
      </w:r>
      <w:r/>
    </w:p>
    <w:p>
      <w:pPr>
        <w:pStyle w:val="973"/>
        <w:ind w:left="0" w:firstLine="422"/>
        <w:jc w:val="both"/>
        <w:keepLines/>
        <w:keepNext/>
        <w:pageBreakBefore w:val="0"/>
        <w:spacing w:before="0" w:after="0" w:line="440" w:lineRule="exact"/>
        <w:widowControl/>
        <w:rPr>
          <w:rFonts w:hint="eastAsia" w:ascii="宋体" w:hAnsi="宋体" w:eastAsia="宋体" w:cs="宋体"/>
          <w:b/>
          <w:bCs w:val="0"/>
          <w:sz w:val="21"/>
          <w:szCs w:val="21"/>
          <w:highlight w:val="none"/>
          <w:lang w:val="en-US" w:eastAsia="zh-CN" w:bidi="ar-SA"/>
        </w:rPr>
        <w:outlineLvl w:val="2"/>
      </w:pPr>
      <w:r/>
      <w:bookmarkStart w:id="62" w:name="_Toc18609"/>
      <w:r>
        <w:rPr>
          <w:rFonts w:hint="eastAsia" w:ascii="宋体" w:hAnsi="宋体" w:eastAsia="宋体" w:cs="宋体"/>
          <w:b/>
          <w:bCs w:val="0"/>
          <w:sz w:val="21"/>
          <w:szCs w:val="21"/>
          <w:highlight w:val="none"/>
          <w:lang w:val="en-US" w:eastAsia="zh-CN" w:bidi="ar-SA"/>
        </w:rPr>
        <w:t xml:space="preserve">7、安全需求</w:t>
      </w:r>
      <w:bookmarkEnd w:id="62"/>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具体需求包括：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边界防护：部署下一代防火墙、入侵防御系统（IPS），互联网出口部署Web应用防火墙（WAF）。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主机安全：服务器安装主机杀毒软件、主机入侵检测（HIDS），关闭非必要端口。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数据安全：传输和存储采用国密算法加密，敏感数据（如排口坐标）脱敏处理。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身份认证：按照《互联网政务应用安全管理规定》及《扬州市市级政务信息化项目管理办法》相关要求，采用多因素鉴别技术提高安全性。</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日志审计：系统日志、操作日志、安全日志留存不少于6个月，支持审计分析。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密码应用：按照GB/T 39786要求，采用国密算法对重要数据进行加密，并开展密码应用安全性评估。</w:t>
      </w:r>
      <w:r>
        <w:rPr>
          <w:rFonts w:hint="eastAsia" w:ascii="宋体" w:hAnsi="宋体" w:eastAsia="宋体" w:cs="宋体"/>
          <w:sz w:val="21"/>
          <w:szCs w:val="21"/>
          <w:highlight w:val="none"/>
        </w:rPr>
      </w:r>
      <w:r/>
    </w:p>
    <w:p>
      <w:pPr>
        <w:pStyle w:val="973"/>
        <w:ind w:left="0" w:firstLine="422"/>
        <w:jc w:val="both"/>
        <w:keepLines/>
        <w:keepNext/>
        <w:pageBreakBefore w:val="0"/>
        <w:spacing w:before="0" w:after="0" w:line="440" w:lineRule="exact"/>
        <w:widowControl/>
        <w:rPr>
          <w:rFonts w:hint="eastAsia" w:ascii="宋体" w:hAnsi="宋体" w:eastAsia="宋体" w:cs="宋体"/>
          <w:b/>
          <w:bCs w:val="0"/>
          <w:sz w:val="21"/>
          <w:szCs w:val="21"/>
          <w:highlight w:val="none"/>
          <w:lang w:val="en-US" w:eastAsia="zh-CN" w:bidi="ar-SA"/>
        </w:rPr>
        <w:outlineLvl w:val="2"/>
      </w:pPr>
      <w:r/>
      <w:bookmarkStart w:id="63" w:name="_Toc14749"/>
      <w:r>
        <w:rPr>
          <w:rFonts w:hint="eastAsia" w:ascii="宋体" w:hAnsi="宋体" w:eastAsia="宋体" w:cs="宋体"/>
          <w:b/>
          <w:bCs w:val="0"/>
          <w:sz w:val="21"/>
          <w:szCs w:val="21"/>
          <w:highlight w:val="none"/>
          <w:lang w:val="en-US" w:eastAsia="zh-CN" w:bidi="ar-SA"/>
        </w:rPr>
        <w:t xml:space="preserve">8、运行管理需求</w:t>
      </w:r>
      <w:bookmarkEnd w:id="63"/>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组织保障：</w:t>
      </w:r>
      <w:r>
        <w:rPr>
          <w:rFonts w:hint="eastAsia" w:ascii="宋体" w:hAnsi="宋体" w:eastAsia="宋体" w:cs="宋体"/>
          <w:i/>
          <w:iCs/>
          <w:sz w:val="21"/>
          <w:szCs w:val="21"/>
          <w:highlight w:val="none"/>
          <w:u w:val="single"/>
        </w:rPr>
        <w:t xml:space="preserve">中标单位需组建不少于5人的驻场团队，包括项目经理、开发工程师、数据工程师、硬件工程师各至少1人，常驻</w:t>
      </w:r>
      <w:r>
        <w:rPr>
          <w:rFonts w:hint="eastAsia" w:ascii="宋体" w:hAnsi="宋体" w:eastAsia="宋体" w:cs="宋体"/>
          <w:i/>
          <w:iCs/>
          <w:sz w:val="21"/>
          <w:szCs w:val="21"/>
          <w:highlight w:val="none"/>
          <w:u w:val="single"/>
          <w:lang w:val="en-US" w:eastAsia="zh-CN"/>
        </w:rPr>
        <w:t xml:space="preserve">仪征</w:t>
      </w:r>
      <w:r>
        <w:rPr>
          <w:rFonts w:hint="eastAsia" w:ascii="宋体" w:hAnsi="宋体" w:eastAsia="宋体" w:cs="宋体"/>
          <w:i/>
          <w:iCs/>
          <w:sz w:val="21"/>
          <w:szCs w:val="21"/>
          <w:highlight w:val="none"/>
          <w:u w:val="single"/>
        </w:rPr>
        <w:t xml:space="preserve">市住建局办公，与建设单位深度融合。</w:t>
      </w:r>
      <w:r>
        <w:rPr>
          <w:rFonts w:hint="eastAsia" w:ascii="宋体" w:hAnsi="宋体" w:eastAsia="宋体" w:cs="宋体"/>
          <w:b/>
          <w:bCs/>
          <w:i/>
          <w:iCs/>
          <w:sz w:val="21"/>
          <w:szCs w:val="21"/>
          <w:highlight w:val="none"/>
          <w:u w:val="single"/>
          <w:lang w:eastAsia="zh-CN"/>
        </w:rPr>
        <w:t xml:space="preserve">（</w:t>
      </w:r>
      <w:r>
        <w:rPr>
          <w:rFonts w:hint="eastAsia" w:ascii="宋体" w:hAnsi="宋体" w:eastAsia="宋体" w:cs="宋体"/>
          <w:b/>
          <w:bCs/>
          <w:i/>
          <w:iCs/>
          <w:sz w:val="21"/>
          <w:szCs w:val="21"/>
          <w:highlight w:val="none"/>
          <w:u w:val="single"/>
          <w:lang w:val="en-US" w:eastAsia="zh-CN"/>
        </w:rPr>
        <w:t xml:space="preserve">提供团队人员名单及承诺函，格式自拟</w:t>
      </w:r>
      <w:r>
        <w:rPr>
          <w:rFonts w:hint="eastAsia" w:ascii="宋体" w:hAnsi="宋体" w:eastAsia="宋体" w:cs="宋体"/>
          <w:b/>
          <w:bCs/>
          <w:i/>
          <w:iCs/>
          <w:sz w:val="21"/>
          <w:szCs w:val="21"/>
          <w:highlight w:val="none"/>
          <w:u w:val="single"/>
          <w:lang w:eastAsia="zh-CN"/>
        </w:rPr>
        <w:t xml:space="preserve">）</w:t>
      </w:r>
      <w:r>
        <w:rPr>
          <w:rFonts w:hint="eastAsia" w:ascii="宋体" w:hAnsi="宋体" w:eastAsia="宋体" w:cs="宋体"/>
          <w:b/>
          <w:bCs/>
          <w:sz w:val="21"/>
          <w:szCs w:val="21"/>
          <w:highlight w:val="none"/>
        </w:rPr>
        <w:t xml:space="preserve">  </w:t>
      </w:r>
      <w:r>
        <w:rPr>
          <w:rFonts w:hint="eastAsia" w:ascii="宋体" w:hAnsi="宋体" w:eastAsia="宋体" w:cs="宋体"/>
          <w:b/>
          <w:bCs/>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运维机制：</w:t>
      </w:r>
      <w:r>
        <w:rPr>
          <w:rFonts w:hint="eastAsia" w:ascii="宋体" w:hAnsi="宋体" w:eastAsia="宋体" w:cs="宋体"/>
          <w:i/>
          <w:iCs/>
          <w:sz w:val="21"/>
          <w:szCs w:val="21"/>
          <w:highlight w:val="none"/>
          <w:u w:val="single"/>
        </w:rPr>
        <w:t xml:space="preserve">建立7×24小时响应机制，一般问题2小时内解决，重大问题24小时内解决。每季度提交运维报告。</w:t>
      </w:r>
      <w:r>
        <w:rPr>
          <w:rFonts w:hint="eastAsia" w:ascii="宋体" w:hAnsi="宋体" w:eastAsia="宋体" w:cs="宋体"/>
          <w:b/>
          <w:bCs/>
          <w:i/>
          <w:iCs/>
          <w:sz w:val="21"/>
          <w:szCs w:val="21"/>
          <w:highlight w:val="none"/>
          <w:u w:val="single"/>
          <w:lang w:eastAsia="zh-CN"/>
        </w:rPr>
        <w:t xml:space="preserve">（</w:t>
      </w:r>
      <w:r>
        <w:rPr>
          <w:rFonts w:hint="eastAsia" w:ascii="宋体" w:hAnsi="宋体" w:eastAsia="宋体" w:cs="宋体"/>
          <w:b/>
          <w:bCs/>
          <w:i/>
          <w:iCs/>
          <w:sz w:val="21"/>
          <w:szCs w:val="21"/>
          <w:highlight w:val="none"/>
          <w:u w:val="single"/>
          <w:lang w:val="en-US" w:eastAsia="zh-CN"/>
        </w:rPr>
        <w:t xml:space="preserve">提供承诺函，格式自拟</w:t>
      </w:r>
      <w:r>
        <w:rPr>
          <w:rFonts w:hint="eastAsia" w:ascii="宋体" w:hAnsi="宋体" w:eastAsia="宋体" w:cs="宋体"/>
          <w:b/>
          <w:bCs/>
          <w:i/>
          <w:iCs/>
          <w:sz w:val="21"/>
          <w:szCs w:val="21"/>
          <w:highlight w:val="none"/>
          <w:u w:val="single"/>
          <w:lang w:eastAsia="zh-CN"/>
        </w:rPr>
        <w:t xml:space="preserve">）</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i/>
          <w:iCs/>
          <w:sz w:val="21"/>
          <w:szCs w:val="21"/>
          <w:highlight w:val="none"/>
          <w:u w:val="single"/>
        </w:rPr>
      </w:pPr>
      <w:r>
        <w:rPr>
          <w:rFonts w:hint="eastAsia" w:ascii="宋体" w:hAnsi="宋体" w:eastAsia="宋体" w:cs="宋体"/>
          <w:sz w:val="21"/>
          <w:szCs w:val="21"/>
          <w:highlight w:val="none"/>
        </w:rPr>
        <w:t xml:space="preserve">培训需求：</w:t>
      </w:r>
      <w:r>
        <w:rPr>
          <w:rFonts w:hint="eastAsia" w:ascii="宋体" w:hAnsi="宋体" w:eastAsia="宋体" w:cs="宋体"/>
          <w:i/>
          <w:iCs/>
          <w:sz w:val="21"/>
          <w:szCs w:val="21"/>
          <w:highlight w:val="none"/>
          <w:u w:val="single"/>
        </w:rPr>
        <w:t xml:space="preserve">针对不同用户角色（领导、管理员、一线人员）开展系统操作培训，每年不少于4次。</w:t>
      </w:r>
      <w:r>
        <w:rPr>
          <w:rFonts w:hint="eastAsia" w:ascii="宋体" w:hAnsi="宋体" w:eastAsia="宋体" w:cs="宋体"/>
          <w:b/>
          <w:bCs/>
          <w:i/>
          <w:iCs/>
          <w:sz w:val="21"/>
          <w:szCs w:val="21"/>
          <w:highlight w:val="none"/>
          <w:u w:val="single"/>
          <w:lang w:eastAsia="zh-CN"/>
        </w:rPr>
        <w:t xml:space="preserve">（</w:t>
      </w:r>
      <w:r>
        <w:rPr>
          <w:rFonts w:hint="eastAsia" w:ascii="宋体" w:hAnsi="宋体" w:eastAsia="宋体" w:cs="宋体"/>
          <w:b/>
          <w:bCs/>
          <w:i/>
          <w:iCs/>
          <w:sz w:val="21"/>
          <w:szCs w:val="21"/>
          <w:highlight w:val="none"/>
          <w:u w:val="single"/>
          <w:lang w:val="en-US" w:eastAsia="zh-CN"/>
        </w:rPr>
        <w:t xml:space="preserve">提供承诺函，格式自拟</w:t>
      </w:r>
      <w:r>
        <w:rPr>
          <w:rFonts w:hint="eastAsia" w:ascii="宋体" w:hAnsi="宋体" w:eastAsia="宋体" w:cs="宋体"/>
          <w:b/>
          <w:bCs/>
          <w:i/>
          <w:iCs/>
          <w:sz w:val="21"/>
          <w:szCs w:val="21"/>
          <w:highlight w:val="none"/>
          <w:u w:val="single"/>
          <w:lang w:eastAsia="zh-CN"/>
        </w:rPr>
        <w:t xml:space="preserve">）</w:t>
      </w:r>
      <w:r>
        <w:rPr>
          <w:rFonts w:hint="eastAsia" w:ascii="宋体" w:hAnsi="宋体" w:eastAsia="宋体" w:cs="宋体"/>
          <w:i/>
          <w:iCs/>
          <w:sz w:val="21"/>
          <w:szCs w:val="21"/>
          <w:highlight w:val="none"/>
          <w:u w:val="singl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知识转移：服务期满前，提供完整的系统源码、数据库设计文档、运维手册，确保建设单位可自主运维。</w:t>
      </w:r>
      <w:r>
        <w:rPr>
          <w:rFonts w:hint="eastAsia" w:ascii="宋体" w:hAnsi="宋体" w:eastAsia="宋体" w:cs="宋体"/>
          <w:sz w:val="21"/>
          <w:szCs w:val="21"/>
          <w:highlight w:val="none"/>
        </w:rPr>
      </w:r>
      <w:r/>
    </w:p>
    <w:p>
      <w:pPr>
        <w:pStyle w:val="973"/>
        <w:ind w:left="0" w:firstLine="422"/>
        <w:jc w:val="both"/>
        <w:keepLines/>
        <w:keepNext/>
        <w:pageBreakBefore w:val="0"/>
        <w:spacing w:before="0" w:after="0" w:line="440" w:lineRule="exact"/>
        <w:widowControl/>
        <w:rPr>
          <w:rFonts w:hint="eastAsia" w:ascii="宋体" w:hAnsi="宋体" w:eastAsia="宋体" w:cs="宋体"/>
          <w:b/>
          <w:bCs w:val="0"/>
          <w:sz w:val="21"/>
          <w:szCs w:val="21"/>
          <w:highlight w:val="none"/>
          <w:lang w:val="en-US" w:eastAsia="zh-CN" w:bidi="ar-SA"/>
        </w:rPr>
        <w:outlineLvl w:val="2"/>
      </w:pPr>
      <w:r/>
      <w:bookmarkStart w:id="64" w:name="_Toc22343"/>
      <w:r>
        <w:rPr>
          <w:rFonts w:hint="eastAsia" w:ascii="宋体" w:hAnsi="宋体" w:eastAsia="宋体" w:cs="宋体"/>
          <w:b/>
          <w:bCs w:val="0"/>
          <w:sz w:val="21"/>
          <w:szCs w:val="21"/>
          <w:highlight w:val="none"/>
          <w:lang w:val="en-US" w:eastAsia="zh-CN" w:bidi="ar-SA"/>
        </w:rPr>
        <w:t xml:space="preserve">9、其他支撑能力需求</w:t>
      </w:r>
      <w:bookmarkEnd w:id="64"/>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汛期保障：每年6-9月汛期，驻场团队需提供7×24小时数据监测与分析支持，必要时增加值班人员。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数据治理：对历史数据进行“抢救性”治理，确保核心字段准确率≥99.37%（4个西格玛水平）。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模型优化：根据实际运行数据，每季度对算法模型进行调优，提升预警准确率。  </w:t>
      </w:r>
      <w:r>
        <w:rPr>
          <w:rFonts w:hint="eastAsia" w:ascii="宋体" w:hAnsi="宋体" w:eastAsia="宋体" w:cs="宋体"/>
          <w:sz w:val="21"/>
          <w:szCs w:val="21"/>
          <w:highlight w:val="none"/>
        </w:rPr>
      </w:r>
      <w:r/>
    </w:p>
    <w:p>
      <w:pPr>
        <w:pStyle w:val="973"/>
        <w:ind w:left="0" w:firstLine="420"/>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sz w:val="21"/>
          <w:szCs w:val="21"/>
          <w:highlight w:val="none"/>
        </w:rPr>
        <w:t xml:space="preserve">硬件动态调整：对监测设备实施“动态哨兵”策略，连续半年无异常的监测点可移机至新区域，提高设备利用率。</w:t>
      </w:r>
      <w:r>
        <w:rPr>
          <w:rFonts w:hint="eastAsia" w:ascii="宋体" w:hAnsi="宋体" w:eastAsia="宋体" w:cs="宋体"/>
          <w:b/>
          <w:color w:val="000000"/>
          <w:sz w:val="21"/>
          <w:szCs w:val="21"/>
          <w:highlight w:val="none"/>
          <w:lang w:val="en-US" w:eastAsia="zh-CN"/>
        </w:rPr>
      </w:r>
      <w:r/>
    </w:p>
    <w:p>
      <w:pPr>
        <w:pStyle w:val="973"/>
        <w:numPr>
          <w:ilvl w:val="0"/>
          <w:numId w:val="0"/>
        </w:numPr>
        <w:ind w:left="0"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五、建设原则</w:t>
      </w:r>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本项目遵循“统筹规划、节约集约、互联互通、共享开放、安全可靠”的总体原则，结合仪征市实际情况，具体贯彻以下设计理念：</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（1）统筹规划，一个平台纵贯到底</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坚持全市“一盘棋”思想，依托仪征城市物联网数智基座，构建统一的城市排水综合管理平台。平台作为全市排水管理的唯一数字底座，向下连接各类感知设备，向上支撑各级用户应用，横向贯通各相关部门业务系统，实现数据“一次采集、多方复用”，业务“统一入口、协同处置”。坚决避免重复建设、多头录入，确保市县共用、多级联动。</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（2）节约集约，充分利旧与动态布点</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大程度利用现有资源：一是数据利旧，对历年普查、检测、工程档案等历史数据进行抢救性治理，变“沉睡资产”为“可用数据”；二是硬件利旧，对城市生命线工程、泵站原有监控、排水户自建监测设备，通过标准协议统一接入，避免重复投资；三是创新“动态哨兵”策略，监测设备根据实际需要动态调整布点，连续半年无异常的监测点可移机至新区域，提高设备利用率，实现“花小钱办大事”。</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（3）互联互通，打破信息孤岛</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平台坚持开放性原则，横向对接气象、水利、自然资源、应急、环保等部门系统，纵向对接扬州市级平台、省级住建平台，打破部门壁垒，实现数据互通、业务协同。所有对外接口遵循统一标准规范，确保“进得来、出得去、管得住”。</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（4）共享开放，释放数据价值</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照“一数一源、一源多用”原则，建立全市统一的数据资源目录，明确数据共享属性和开放条件。形成的排水数据资产按规范向市大数据共享开放平台汇聚，支持跨部门、跨层级调用，为城市更新、规划决策、科研创新提供高质量数据支撑。</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（5）安全可靠，筑牢数字防线</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全面落实国家网络安全法、数据安全法、密码法要求，采用安全可靠产品（服务器芯片、操作系统、数据库、中间件均符合国家安全可靠目录），构建“云、网、端”一体化安全防护体系。系统建设与安全防护同步规划、同步建设、同步投运，确保业务连续、数据可控。</w:t>
      </w:r>
      <w:r>
        <w:rPr>
          <w:rFonts w:hint="eastAsia" w:ascii="宋体" w:hAnsi="宋体" w:eastAsia="宋体" w:cs="宋体"/>
          <w:sz w:val="21"/>
          <w:szCs w:val="21"/>
          <w:highlight w:val="none"/>
          <w:lang w:val="en-US" w:eastAsia="zh-CN"/>
        </w:rPr>
      </w:r>
      <w:r/>
    </w:p>
    <w:p>
      <w:pPr>
        <w:pStyle w:val="973"/>
        <w:numPr>
          <w:ilvl w:val="0"/>
          <w:numId w:val="0"/>
        </w:numPr>
        <w:ind w:left="0"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六、建设目标</w:t>
      </w:r>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本项目以“数据驱动、主动干预、精细管理”为核心理念，通过三年持续运营，实现以下目标：</w:t>
      </w:r>
      <w:r>
        <w:rPr>
          <w:rFonts w:hint="eastAsia" w:ascii="宋体" w:hAnsi="宋体" w:eastAsia="宋体" w:cs="宋体"/>
          <w:sz w:val="21"/>
          <w:szCs w:val="21"/>
          <w:highlight w:val="none"/>
        </w:rPr>
      </w:r>
      <w:r/>
    </w:p>
    <w:p>
      <w:pPr>
        <w:pStyle w:val="973"/>
        <w:ind w:left="0" w:firstLine="422"/>
        <w:jc w:val="both"/>
        <w:keepLines/>
        <w:keepNext/>
        <w:pageBreakBefore w:val="0"/>
        <w:spacing w:before="0" w:after="0" w:line="440" w:lineRule="exact"/>
        <w:widowControl/>
        <w:rPr>
          <w:rFonts w:hint="eastAsia" w:ascii="宋体" w:hAnsi="宋体" w:eastAsia="宋体" w:cs="宋体"/>
          <w:b/>
          <w:bCs w:val="0"/>
          <w:sz w:val="21"/>
          <w:szCs w:val="21"/>
          <w:highlight w:val="none"/>
          <w:lang w:val="en-US" w:eastAsia="zh-CN" w:bidi="ar-SA"/>
        </w:rPr>
        <w:outlineLvl w:val="2"/>
      </w:pPr>
      <w:r/>
      <w:bookmarkStart w:id="65" w:name="_Toc24771"/>
      <w:r>
        <w:rPr>
          <w:rFonts w:hint="eastAsia" w:ascii="宋体" w:hAnsi="宋体" w:eastAsia="宋体" w:cs="宋体"/>
          <w:b/>
          <w:bCs w:val="0"/>
          <w:sz w:val="21"/>
          <w:szCs w:val="21"/>
          <w:highlight w:val="none"/>
          <w:lang w:val="en-US" w:eastAsia="zh-CN" w:bidi="ar-SA"/>
        </w:rPr>
        <w:t xml:space="preserve">1、政务目标</w:t>
      </w:r>
      <w:bookmarkEnd w:id="65"/>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（1）构建排水管理新范式</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推动排水管理模式从传统的“经验化”向“数据化”转变，从“被动响应”（发生问题再处理）向“主动预防”（基于数据提前预判）转变。以排水专项为突破口，探索形成“高质量数据集+可信数据服务”的城市治理新范式，为全市其他领域数字化转型提供可复制的“仪征样板”。</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（2）打通跨部门协同堵点</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以数据共享为纽带，打通住建、水利、气象、应急、环保等部门业务协同通道，实现排水相关事件的“发现—预警—派单—处置—反馈”闭环管理，显著提升跨部门协同效率。</w:t>
      </w:r>
      <w:r>
        <w:rPr>
          <w:rFonts w:hint="eastAsia" w:ascii="宋体" w:hAnsi="宋体" w:eastAsia="宋体" w:cs="宋体"/>
          <w:sz w:val="21"/>
          <w:szCs w:val="21"/>
          <w:highlight w:val="none"/>
        </w:rPr>
      </w:r>
      <w:r/>
    </w:p>
    <w:p>
      <w:pPr>
        <w:pStyle w:val="973"/>
        <w:numPr>
          <w:ilvl w:val="0"/>
          <w:numId w:val="11"/>
        </w:numPr>
        <w:ind w:left="0" w:firstLine="420"/>
        <w:pageBreakBefore w:val="0"/>
        <w:spacing w:line="440" w:lineRule="exact"/>
        <w:widowControl/>
        <w:tabs>
          <w:tab w:val="left" w:pos="5600" w:leader="none"/>
        </w:tabs>
        <w:rPr>
          <w:rFonts w:hint="eastAsia" w:ascii="Calibri" w:hAnsi="Calibri"/>
          <w:sz w:val="21"/>
          <w:szCs w:val="22"/>
          <w:highlight w:val="none"/>
          <w:lang w:val="en-US" w:eastAsia="zh-CN" w:bidi="ar-SA"/>
        </w:rPr>
      </w:pPr>
      <w:r>
        <w:rPr>
          <w:rFonts w:hint="eastAsia" w:ascii="宋体" w:hAnsi="宋体" w:eastAsia="宋体" w:cs="宋体"/>
          <w:sz w:val="21"/>
          <w:szCs w:val="21"/>
          <w:highlight w:val="none"/>
        </w:rPr>
        <w:t xml:space="preserve">夯实城市数字底座</w:t>
      </w:r>
      <w:r>
        <w:rPr>
          <w:rFonts w:hint="eastAsia" w:ascii="Calibri" w:hAnsi="Calibri"/>
          <w:sz w:val="21"/>
          <w:szCs w:val="22"/>
          <w:highlight w:val="none"/>
          <w:lang w:val="en-US" w:eastAsia="zh-CN" w:bidi="ar-SA"/>
        </w:rPr>
      </w:r>
      <w:r/>
    </w:p>
    <w:p>
      <w:pPr>
        <w:pStyle w:val="973"/>
        <w:numPr>
          <w:ilvl w:val="0"/>
          <w:numId w:val="0"/>
        </w:numPr>
        <w:keepLines w:val="0"/>
        <w:keepNext w:val="0"/>
        <w:pageBreakBefore w:val="0"/>
        <w:spacing w:line="440" w:lineRule="exact"/>
        <w:widowControl/>
        <w:tabs>
          <w:tab w:val="left" w:pos="5600" w:leader="none"/>
        </w:tabs>
        <w:rPr>
          <w:rFonts w:ascii="Calibri" w:hAnsi="Calibri" w:eastAsia="宋体"/>
          <w:sz w:val="21"/>
          <w:szCs w:val="22"/>
          <w:highlight w:val="none"/>
          <w:lang w:val="en-US" w:eastAsia="zh-CN" w:bidi="ar-SA"/>
        </w:rPr>
      </w:pPr>
      <w:r>
        <w:rPr>
          <w:rFonts w:hint="eastAsia" w:ascii="宋体" w:hAnsi="宋体" w:eastAsia="宋体" w:cs="宋体"/>
          <w:sz w:val="21"/>
          <w:szCs w:val="21"/>
          <w:highlight w:val="none"/>
        </w:rPr>
        <w:t xml:space="preserve">通过本项目沉淀全市排水设施全量数据，按照统一标准入库，形成动态更新、精准可靠</w:t>
      </w:r>
      <w:r>
        <w:rPr>
          <w:rFonts w:hint="eastAsia" w:ascii="宋体" w:hAnsi="宋体" w:eastAsia="宋体" w:cs="宋体"/>
          <w:sz w:val="21"/>
          <w:szCs w:val="21"/>
          <w:highlight w:val="none"/>
          <w:lang w:val="en-US" w:eastAsia="zh-CN"/>
        </w:rPr>
        <w:t xml:space="preserve">的城市</w:t>
      </w:r>
      <w:r>
        <w:rPr>
          <w:rFonts w:ascii="Calibri" w:hAnsi="Calibri" w:eastAsia="宋体"/>
          <w:sz w:val="21"/>
          <w:szCs w:val="22"/>
          <w:highlight w:val="none"/>
          <w:lang w:val="en-US" w:eastAsia="zh-CN" w:bidi="ar-SA"/>
        </w:rPr>
      </w:r>
      <w:r/>
    </w:p>
    <w:p>
      <w:pPr>
        <w:pStyle w:val="973"/>
        <w:numPr>
          <w:ilvl w:val="0"/>
          <w:numId w:val="0"/>
        </w:numPr>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排水数字底图，为城市生命线工程、海绵城市建设、城市更新等提供基础数据支撑，避免重复勘探、重复建设。</w:t>
      </w:r>
      <w:r>
        <w:rPr>
          <w:rFonts w:hint="eastAsia" w:ascii="宋体" w:hAnsi="宋体" w:eastAsia="宋体" w:cs="宋体"/>
          <w:sz w:val="21"/>
          <w:szCs w:val="21"/>
          <w:highlight w:val="none"/>
        </w:rPr>
      </w:r>
      <w:r/>
    </w:p>
    <w:p>
      <w:pPr>
        <w:pStyle w:val="973"/>
        <w:ind w:left="0" w:firstLine="422"/>
        <w:jc w:val="both"/>
        <w:keepLines/>
        <w:keepNext/>
        <w:pageBreakBefore w:val="0"/>
        <w:spacing w:before="0" w:after="0" w:line="440" w:lineRule="exact"/>
        <w:widowControl/>
        <w:rPr>
          <w:rFonts w:hint="eastAsia" w:ascii="宋体" w:hAnsi="宋体" w:eastAsia="宋体" w:cs="宋体"/>
          <w:b/>
          <w:bCs w:val="0"/>
          <w:sz w:val="21"/>
          <w:szCs w:val="21"/>
          <w:highlight w:val="none"/>
          <w:lang w:val="en-US" w:eastAsia="zh-CN" w:bidi="ar-SA"/>
        </w:rPr>
        <w:outlineLvl w:val="2"/>
      </w:pPr>
      <w:r/>
      <w:bookmarkStart w:id="66" w:name="_Toc13575"/>
      <w:r>
        <w:rPr>
          <w:rFonts w:hint="eastAsia" w:ascii="宋体" w:hAnsi="宋体" w:eastAsia="宋体" w:cs="宋体"/>
          <w:b/>
          <w:bCs w:val="0"/>
          <w:sz w:val="21"/>
          <w:szCs w:val="21"/>
          <w:highlight w:val="none"/>
          <w:lang w:val="en-US" w:eastAsia="zh-CN" w:bidi="ar-SA"/>
        </w:rPr>
        <w:t xml:space="preserve">2、业务目标</w:t>
      </w:r>
      <w:bookmarkEnd w:id="66"/>
      <w:r>
        <w:rPr>
          <w:rFonts w:hint="eastAsia" w:ascii="宋体" w:hAnsi="宋体" w:eastAsia="宋体" w:cs="宋体"/>
          <w:b/>
          <w:bCs w:val="0"/>
          <w:sz w:val="21"/>
          <w:szCs w:val="21"/>
          <w:highlight w:val="none"/>
          <w:lang w:val="en-US" w:eastAsia="zh-CN" w:bidi="ar-SA"/>
        </w:rPr>
      </w:r>
      <w:r/>
    </w:p>
    <w:p>
      <w:pPr>
        <w:pStyle w:val="973"/>
        <w:ind w:left="0" w:firstLine="420"/>
        <w:jc w:val="left"/>
        <w:pageBreakBefore w:val="0"/>
        <w:spacing w:before="0" w:after="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（1）建立排水管护标准化流程，实现标准化运维管护体系，将被动性养护转换为预防性养护，由排水管理粗放型到排水管理精细化。</w:t>
      </w:r>
      <w:r>
        <w:rPr>
          <w:rFonts w:hint="eastAsia" w:ascii="宋体" w:hAnsi="宋体" w:eastAsia="宋体" w:cs="宋体"/>
          <w:sz w:val="21"/>
          <w:szCs w:val="21"/>
          <w:highlight w:val="none"/>
          <w:lang w:val="en-US" w:eastAsia="zh-CN" w:bidi="ar-SA"/>
        </w:rPr>
      </w:r>
      <w:r/>
    </w:p>
    <w:p>
      <w:pPr>
        <w:pStyle w:val="973"/>
        <w:ind w:left="0" w:firstLine="420"/>
        <w:jc w:val="left"/>
        <w:pageBreakBefore w:val="0"/>
        <w:spacing w:before="0" w:after="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（2）基于前端感知设备，实时监测管网水质水量，快速发现雨污混接、污水偷排等问题。实现准确识别，快速研判，及时处置。做到削减入河污染总量、提升污水厂进水浓度，实现降本增效。</w:t>
      </w:r>
      <w:r>
        <w:rPr>
          <w:rFonts w:hint="eastAsia" w:ascii="宋体" w:hAnsi="宋体" w:eastAsia="宋体" w:cs="宋体"/>
          <w:sz w:val="21"/>
          <w:szCs w:val="21"/>
          <w:highlight w:val="none"/>
          <w:lang w:val="en-US" w:eastAsia="zh-CN" w:bidi="ar-SA"/>
        </w:rPr>
      </w:r>
      <w:r/>
    </w:p>
    <w:p>
      <w:pPr>
        <w:pStyle w:val="973"/>
        <w:ind w:left="0" w:firstLine="420"/>
        <w:jc w:val="left"/>
        <w:pageBreakBefore w:val="0"/>
        <w:spacing w:before="0" w:after="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基于前端感知设备，通过高质量的数据采集实时掌握排水设施、管网运行工况，结合地势地形汇水模态、气象预报等数据，通过数据分析、模型算法等技术，实现区域性洪涝灾害的预测预判。为优化排水系统运行方案提供理论依据，为防洪调度提供决策依据。</w:t>
      </w:r>
      <w:r>
        <w:rPr>
          <w:rFonts w:hint="eastAsia" w:ascii="宋体" w:hAnsi="宋体" w:eastAsia="宋体" w:cs="宋体"/>
          <w:sz w:val="21"/>
          <w:szCs w:val="21"/>
          <w:highlight w:val="none"/>
          <w:lang w:val="en-US" w:eastAsia="zh-CN" w:bidi="ar-SA"/>
        </w:rPr>
      </w:r>
      <w:r/>
    </w:p>
    <w:p>
      <w:pPr>
        <w:pStyle w:val="973"/>
        <w:ind w:left="0" w:firstLine="420"/>
        <w:jc w:val="left"/>
        <w:pageBreakBefore w:val="0"/>
        <w:spacing w:before="0" w:after="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（4）基于高质量的数据集，掌握排水设施实时运行工况，验证前期项目成效，也为后期项目研究、城市规划提供数据支撑和决策依据。推进城市高质量发展。</w:t>
      </w:r>
      <w:r>
        <w:rPr>
          <w:rFonts w:hint="eastAsia" w:ascii="宋体" w:hAnsi="宋体" w:eastAsia="宋体" w:cs="宋体"/>
          <w:sz w:val="21"/>
          <w:szCs w:val="21"/>
          <w:highlight w:val="none"/>
          <w:lang w:val="en-US" w:eastAsia="zh-CN" w:bidi="ar-SA"/>
        </w:rPr>
      </w:r>
      <w:r/>
    </w:p>
    <w:p>
      <w:pPr>
        <w:pStyle w:val="973"/>
        <w:ind w:left="0" w:firstLine="422"/>
        <w:jc w:val="both"/>
        <w:keepLines/>
        <w:keepNext/>
        <w:pageBreakBefore w:val="0"/>
        <w:spacing w:before="0" w:after="0" w:line="440" w:lineRule="exact"/>
        <w:widowControl/>
        <w:rPr>
          <w:rFonts w:hint="eastAsia" w:ascii="宋体" w:hAnsi="宋体" w:eastAsia="宋体" w:cs="宋体"/>
          <w:b/>
          <w:bCs w:val="0"/>
          <w:sz w:val="21"/>
          <w:szCs w:val="21"/>
          <w:highlight w:val="none"/>
          <w:lang w:val="en-US" w:eastAsia="zh-CN" w:bidi="ar-SA"/>
        </w:rPr>
        <w:outlineLvl w:val="2"/>
      </w:pPr>
      <w:r/>
      <w:bookmarkStart w:id="67" w:name="_Toc14081"/>
      <w:r>
        <w:rPr>
          <w:rFonts w:hint="eastAsia" w:ascii="宋体" w:hAnsi="宋体" w:eastAsia="宋体" w:cs="宋体"/>
          <w:b/>
          <w:bCs w:val="0"/>
          <w:sz w:val="21"/>
          <w:szCs w:val="21"/>
          <w:highlight w:val="none"/>
          <w:lang w:val="en-US" w:eastAsia="zh-CN" w:bidi="ar-SA"/>
        </w:rPr>
        <w:t xml:space="preserve">3、效益目标</w:t>
      </w:r>
      <w:bookmarkEnd w:id="67"/>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（1）经济效益</w:t>
      </w:r>
      <w:r>
        <w:rPr>
          <w:rFonts w:hint="eastAsia" w:ascii="宋体" w:hAnsi="宋体" w:eastAsia="宋体" w:cs="宋体"/>
          <w:sz w:val="21"/>
          <w:szCs w:val="21"/>
          <w:highlight w:val="none"/>
        </w:rPr>
      </w:r>
      <w:r/>
    </w:p>
    <w:p>
      <w:pPr>
        <w:pStyle w:val="973"/>
        <w:numPr>
          <w:ilvl w:val="0"/>
          <w:numId w:val="12"/>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降低运维成本：通过精准养护替代定期清淤，减少无效作业，降低管网养护成本。</w:t>
      </w:r>
      <w:r>
        <w:rPr>
          <w:rFonts w:hint="eastAsia" w:ascii="宋体" w:hAnsi="宋体" w:eastAsia="宋体" w:cs="宋体"/>
          <w:sz w:val="21"/>
          <w:szCs w:val="21"/>
          <w:highlight w:val="none"/>
          <w:lang w:val="en-US" w:eastAsia="zh-CN" w:bidi="ar-SA"/>
        </w:rPr>
      </w:r>
      <w:r/>
    </w:p>
    <w:p>
      <w:pPr>
        <w:pStyle w:val="973"/>
        <w:numPr>
          <w:ilvl w:val="0"/>
          <w:numId w:val="12"/>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减少能耗支出：泵站智能调度实现错峰运行、按需启停，能耗降低。</w:t>
      </w:r>
      <w:r>
        <w:rPr>
          <w:rFonts w:hint="eastAsia" w:ascii="宋体" w:hAnsi="宋体" w:eastAsia="宋体" w:cs="宋体"/>
          <w:sz w:val="21"/>
          <w:szCs w:val="21"/>
          <w:highlight w:val="none"/>
          <w:lang w:val="en-US" w:eastAsia="zh-CN" w:bidi="ar-SA"/>
        </w:rPr>
      </w:r>
      <w:r/>
    </w:p>
    <w:p>
      <w:pPr>
        <w:pStyle w:val="973"/>
        <w:numPr>
          <w:ilvl w:val="0"/>
          <w:numId w:val="12"/>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避免重复勘探：新建工程可直接调用平台数据，减少现场探测费用。</w:t>
      </w:r>
      <w:r>
        <w:rPr>
          <w:rFonts w:hint="eastAsia" w:ascii="宋体" w:hAnsi="宋体" w:eastAsia="宋体" w:cs="宋体"/>
          <w:sz w:val="21"/>
          <w:szCs w:val="21"/>
          <w:highlight w:val="none"/>
          <w:lang w:val="en-US" w:eastAsia="zh-CN" w:bidi="ar-SA"/>
        </w:rPr>
      </w:r>
      <w:r/>
    </w:p>
    <w:p>
      <w:pPr>
        <w:pStyle w:val="973"/>
        <w:numPr>
          <w:ilvl w:val="0"/>
          <w:numId w:val="12"/>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降低灾害损失：内涝提前预警、快速处置，减少因积水造成的直接经济损失。</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（2）社会效益</w:t>
      </w:r>
      <w:r>
        <w:rPr>
          <w:rFonts w:hint="eastAsia" w:ascii="宋体" w:hAnsi="宋体" w:eastAsia="宋体" w:cs="宋体"/>
          <w:sz w:val="21"/>
          <w:szCs w:val="21"/>
          <w:highlight w:val="none"/>
        </w:rPr>
      </w:r>
      <w:r/>
    </w:p>
    <w:p>
      <w:pPr>
        <w:pStyle w:val="973"/>
        <w:numPr>
          <w:ilvl w:val="0"/>
          <w:numId w:val="13"/>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保障城市</w:t>
      </w:r>
      <w:r>
        <w:rPr>
          <w:rFonts w:hint="eastAsia"/>
          <w:highlight w:val="none"/>
          <w:lang w:val="en-US" w:eastAsia="zh-CN"/>
        </w:rPr>
        <w:t xml:space="preserve">安全</w:t>
      </w:r>
      <w:r>
        <w:rPr>
          <w:rFonts w:hint="eastAsia" w:ascii="宋体" w:hAnsi="宋体" w:eastAsia="宋体" w:cs="宋体"/>
          <w:sz w:val="21"/>
          <w:szCs w:val="21"/>
          <w:highlight w:val="none"/>
          <w:lang w:val="en-US" w:eastAsia="zh-CN" w:bidi="ar-SA"/>
        </w:rPr>
        <w:t xml:space="preserve">：内涝预警准确率提升，避免人员伤亡风险。</w:t>
      </w:r>
      <w:r>
        <w:rPr>
          <w:rFonts w:hint="eastAsia" w:ascii="宋体" w:hAnsi="宋体" w:eastAsia="宋体" w:cs="宋体"/>
          <w:sz w:val="21"/>
          <w:szCs w:val="21"/>
          <w:highlight w:val="none"/>
          <w:lang w:val="en-US" w:eastAsia="zh-CN" w:bidi="ar-SA"/>
        </w:rPr>
      </w:r>
      <w:r/>
    </w:p>
    <w:p>
      <w:pPr>
        <w:pStyle w:val="973"/>
        <w:numPr>
          <w:ilvl w:val="0"/>
          <w:numId w:val="13"/>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提升公众满意度：公众报修响应时间缩短，问题处置率提升，群众投诉量下降。</w:t>
      </w:r>
      <w:r>
        <w:rPr>
          <w:rFonts w:hint="eastAsia" w:ascii="宋体" w:hAnsi="宋体" w:eastAsia="宋体" w:cs="宋体"/>
          <w:sz w:val="21"/>
          <w:szCs w:val="21"/>
          <w:highlight w:val="none"/>
          <w:lang w:val="en-US" w:eastAsia="zh-CN" w:bidi="ar-SA"/>
        </w:rPr>
      </w:r>
      <w:r/>
    </w:p>
    <w:p>
      <w:pPr>
        <w:pStyle w:val="973"/>
        <w:numPr>
          <w:ilvl w:val="0"/>
          <w:numId w:val="13"/>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改善水环境：污水厂进水浓度提升，减少溢流污染，河道水质持续改善，公众获得感增强。</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（3）生态效益</w:t>
      </w:r>
      <w:r>
        <w:rPr>
          <w:rFonts w:hint="eastAsia" w:ascii="宋体" w:hAnsi="宋体" w:eastAsia="宋体" w:cs="宋体"/>
          <w:sz w:val="21"/>
          <w:szCs w:val="21"/>
          <w:highlight w:val="none"/>
        </w:rPr>
      </w:r>
      <w:r/>
    </w:p>
    <w:p>
      <w:pPr>
        <w:pStyle w:val="973"/>
        <w:numPr>
          <w:ilvl w:val="0"/>
          <w:numId w:val="14"/>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精准治污：通过偷排识别、混接预警，及时查处违法排污行为，减少污染物入河量。</w:t>
      </w:r>
      <w:r>
        <w:rPr>
          <w:rFonts w:hint="eastAsia" w:ascii="宋体" w:hAnsi="宋体" w:eastAsia="宋体" w:cs="宋体"/>
          <w:sz w:val="21"/>
          <w:szCs w:val="21"/>
          <w:highlight w:val="none"/>
          <w:lang w:val="en-US" w:eastAsia="zh-CN" w:bidi="ar-SA"/>
        </w:rPr>
      </w:r>
      <w:r/>
    </w:p>
    <w:p>
      <w:pPr>
        <w:pStyle w:val="973"/>
        <w:numPr>
          <w:ilvl w:val="0"/>
          <w:numId w:val="14"/>
        </w:numPr>
        <w:ind w:left="0" w:firstLine="420"/>
        <w:jc w:val="both"/>
        <w:pageBreakBefore w:val="0"/>
        <w:spacing w:before="0" w:after="0" w:line="440" w:lineRule="exact"/>
        <w:widowControl/>
        <w:rPr>
          <w:rFonts w:hint="eastAsia" w:ascii="宋体" w:hAnsi="宋体" w:eastAsia="宋体" w:cs="宋体"/>
          <w:b/>
          <w:bCs w:val="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资源化利用：为再生水利用、污泥资源化提供数据支撑，推动绿色低碳发展。</w:t>
      </w:r>
      <w:r>
        <w:rPr>
          <w:rFonts w:hint="eastAsia" w:ascii="宋体" w:hAnsi="宋体" w:eastAsia="宋体" w:cs="宋体"/>
          <w:b/>
          <w:bCs w:val="0"/>
          <w:sz w:val="21"/>
          <w:szCs w:val="21"/>
          <w:highlight w:val="none"/>
          <w:lang w:val="en-US" w:eastAsia="zh-CN" w:bidi="ar-SA"/>
        </w:rPr>
      </w:r>
      <w:r/>
    </w:p>
    <w:p>
      <w:pPr>
        <w:pStyle w:val="973"/>
        <w:numPr>
          <w:ilvl w:val="0"/>
          <w:numId w:val="0"/>
        </w:numPr>
        <w:ind w:left="0"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七、建设任务 </w:t>
      </w:r>
      <w:r>
        <w:rPr>
          <w:rFonts w:hint="eastAsia" w:ascii="宋体" w:hAnsi="宋体" w:eastAsia="宋体" w:cs="宋体"/>
          <w:b/>
          <w:bCs w:val="0"/>
          <w:sz w:val="21"/>
          <w:szCs w:val="21"/>
          <w:highlight w:val="none"/>
          <w:lang w:val="en-US" w:eastAsia="zh-CN" w:bidi="ar-SA"/>
        </w:rPr>
      </w:r>
      <w:r/>
    </w:p>
    <w:p>
      <w:pPr>
        <w:pStyle w:val="973"/>
        <w:ind w:left="0" w:firstLine="422"/>
        <w:jc w:val="both"/>
        <w:keepLines/>
        <w:keepNext/>
        <w:pageBreakBefore w:val="0"/>
        <w:spacing w:before="0" w:after="0" w:line="440" w:lineRule="exact"/>
        <w:widowControl/>
        <w:rPr>
          <w:rFonts w:hint="eastAsia" w:ascii="宋体" w:hAnsi="宋体" w:eastAsia="宋体" w:cs="宋体"/>
          <w:b/>
          <w:bCs w:val="0"/>
          <w:sz w:val="21"/>
          <w:szCs w:val="21"/>
          <w:highlight w:val="none"/>
          <w:lang w:val="en-US" w:eastAsia="zh-CN" w:bidi="ar-SA"/>
        </w:rPr>
        <w:outlineLvl w:val="2"/>
      </w:pPr>
      <w:r/>
      <w:bookmarkStart w:id="68" w:name="_Toc16147"/>
      <w:r>
        <w:rPr>
          <w:rFonts w:hint="eastAsia" w:ascii="宋体" w:hAnsi="宋体" w:eastAsia="宋体" w:cs="宋体"/>
          <w:b/>
          <w:bCs w:val="0"/>
          <w:sz w:val="21"/>
          <w:szCs w:val="21"/>
          <w:highlight w:val="none"/>
          <w:lang w:val="en-US" w:eastAsia="zh-CN" w:bidi="ar-SA"/>
        </w:rPr>
        <w:t xml:space="preserve">1、总体任务</w:t>
      </w:r>
      <w:bookmarkEnd w:id="68"/>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本项目采用“建设+运营”一体化模式，总服务期3年，其中平台建设期6个月（约180天），运营服务期3年。主要建设任务包括：</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（1）软件开发</w:t>
      </w:r>
      <w:r>
        <w:rPr>
          <w:rFonts w:hint="eastAsia" w:ascii="宋体" w:hAnsi="宋体" w:eastAsia="宋体" w:cs="宋体"/>
          <w:sz w:val="21"/>
          <w:szCs w:val="21"/>
          <w:highlight w:val="none"/>
        </w:rPr>
      </w:r>
      <w:r/>
    </w:p>
    <w:p>
      <w:pPr>
        <w:pStyle w:val="973"/>
        <w:numPr>
          <w:ilvl w:val="0"/>
          <w:numId w:val="15"/>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开发排水综合管理专项平台（GIS综合管理平台），包含涉水资产GIS一张图、数据报告、大屏分析等功能。</w:t>
      </w:r>
      <w:r>
        <w:rPr>
          <w:rFonts w:hint="eastAsia" w:ascii="宋体" w:hAnsi="宋体" w:eastAsia="宋体" w:cs="宋体"/>
          <w:sz w:val="21"/>
          <w:szCs w:val="21"/>
          <w:highlight w:val="none"/>
          <w:lang w:val="en-US" w:eastAsia="zh-CN" w:bidi="ar-SA"/>
        </w:rPr>
      </w:r>
      <w:r/>
    </w:p>
    <w:p>
      <w:pPr>
        <w:pStyle w:val="973"/>
        <w:numPr>
          <w:ilvl w:val="0"/>
          <w:numId w:val="15"/>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开发数据分析服务平台，包含预警管理、风险诊断、溯源分析、模型服务等功能。</w:t>
      </w:r>
      <w:r>
        <w:rPr>
          <w:rFonts w:hint="eastAsia" w:ascii="宋体" w:hAnsi="宋体" w:eastAsia="宋体" w:cs="宋体"/>
          <w:sz w:val="21"/>
          <w:szCs w:val="21"/>
          <w:highlight w:val="none"/>
          <w:lang w:val="en-US" w:eastAsia="zh-CN" w:bidi="ar-SA"/>
        </w:rPr>
      </w:r>
      <w:r/>
    </w:p>
    <w:p>
      <w:pPr>
        <w:pStyle w:val="973"/>
        <w:numPr>
          <w:ilvl w:val="0"/>
          <w:numId w:val="15"/>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开发外部系统对接接口，实现与生命线工程、泵站平台、政务数据共享平台对接。</w:t>
      </w:r>
      <w:r>
        <w:rPr>
          <w:rFonts w:hint="eastAsia" w:ascii="宋体" w:hAnsi="宋体" w:eastAsia="宋体" w:cs="宋体"/>
          <w:sz w:val="21"/>
          <w:szCs w:val="21"/>
          <w:highlight w:val="none"/>
          <w:lang w:val="en-US" w:eastAsia="zh-CN" w:bidi="ar-SA"/>
        </w:rPr>
      </w:r>
      <w:r/>
    </w:p>
    <w:p>
      <w:pPr>
        <w:pStyle w:val="973"/>
        <w:numPr>
          <w:ilvl w:val="0"/>
          <w:numId w:val="15"/>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开发硬件直接对接功能，实现采集网关等硬件数据统一接入。</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（2）数据治理</w:t>
      </w:r>
      <w:r>
        <w:rPr>
          <w:rFonts w:hint="eastAsia" w:ascii="宋体" w:hAnsi="宋体" w:eastAsia="宋体" w:cs="宋体"/>
          <w:sz w:val="21"/>
          <w:szCs w:val="21"/>
          <w:highlight w:val="none"/>
        </w:rPr>
      </w:r>
      <w:r/>
    </w:p>
    <w:p>
      <w:pPr>
        <w:pStyle w:val="973"/>
        <w:numPr>
          <w:ilvl w:val="0"/>
          <w:numId w:val="16"/>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历史数据抢救性治理：对历史数据进行解析、清洗、比对、关联，形成结构化数据库。重点解决坐标不准、属性缺失、图文不一致等6类质量问题，确保核心字段准确率≥99.37%（4个西格玛水平）。</w:t>
      </w:r>
      <w:r>
        <w:rPr>
          <w:rFonts w:hint="eastAsia" w:ascii="宋体" w:hAnsi="宋体" w:eastAsia="宋体" w:cs="宋体"/>
          <w:sz w:val="21"/>
          <w:szCs w:val="21"/>
          <w:highlight w:val="none"/>
          <w:lang w:val="en-US" w:eastAsia="zh-CN" w:bidi="ar-SA"/>
        </w:rPr>
      </w:r>
      <w:r/>
    </w:p>
    <w:p>
      <w:pPr>
        <w:pStyle w:val="973"/>
        <w:numPr>
          <w:ilvl w:val="0"/>
          <w:numId w:val="16"/>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数据更新机制：建立新建、改建工程数据实时入库流程，要求施工单位按统一格式提交竣工数据，验收前完成数据入库。</w:t>
      </w:r>
      <w:r>
        <w:rPr>
          <w:rFonts w:hint="eastAsia" w:ascii="宋体" w:hAnsi="宋体" w:eastAsia="宋体" w:cs="宋体"/>
          <w:sz w:val="21"/>
          <w:szCs w:val="21"/>
          <w:highlight w:val="none"/>
          <w:lang w:val="en-US" w:eastAsia="zh-CN" w:bidi="ar-SA"/>
        </w:rPr>
      </w:r>
      <w:r/>
    </w:p>
    <w:p>
      <w:pPr>
        <w:pStyle w:val="973"/>
        <w:numPr>
          <w:ilvl w:val="0"/>
          <w:numId w:val="16"/>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数据质量持续监控：每日自动巡检数据质量，对异常数据标记并推送至管理员复核，形成“采集—校验—反馈—修正”的闭环。</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（3）硬件采购与安装</w:t>
      </w:r>
      <w:r>
        <w:rPr>
          <w:rFonts w:hint="eastAsia" w:ascii="宋体" w:hAnsi="宋体" w:eastAsia="宋体" w:cs="宋体"/>
          <w:sz w:val="21"/>
          <w:szCs w:val="21"/>
          <w:highlight w:val="none"/>
        </w:rPr>
      </w:r>
      <w:r/>
    </w:p>
    <w:p>
      <w:pPr>
        <w:pStyle w:val="973"/>
        <w:numPr>
          <w:ilvl w:val="0"/>
          <w:numId w:val="1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雷达液位计20套、COD分析仪3套、便携式流量计2套，按“动态哨兵”策略分批次布设。第一批次优先布设重点排水户排口、区界断面、历史易涝点，运行半年后根据监测数据有效性评估，调整第二批次布点方案。</w:t>
      </w:r>
      <w:r>
        <w:rPr>
          <w:rFonts w:hint="eastAsia" w:ascii="宋体" w:hAnsi="宋体" w:eastAsia="宋体" w:cs="宋体"/>
          <w:sz w:val="21"/>
          <w:szCs w:val="21"/>
          <w:highlight w:val="none"/>
          <w:lang w:val="en-US" w:eastAsia="zh-CN" w:bidi="ar-SA"/>
        </w:rPr>
      </w:r>
      <w:r/>
    </w:p>
    <w:p>
      <w:pPr>
        <w:pStyle w:val="973"/>
        <w:numPr>
          <w:ilvl w:val="0"/>
          <w:numId w:val="1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完成20座泵站数据采集接入，通过现有的采集网关与泵站PLC对接，获取实时流量、液位、启停状态等数据。</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（4）系统集成与对接</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对接城市生命线工程排水监测平台，获取已有监测点数据，并作为生命线工程的补充数据源。</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对接现有泵站监控系统，实现统一接入，解决“一站一系统”的孤岛问题。</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对接气象、水利、自然资源等部门数据接口，实现数据自动获取。 </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（5）运营服务</w:t>
      </w:r>
      <w:r>
        <w:rPr>
          <w:rFonts w:hint="eastAsia" w:ascii="宋体" w:hAnsi="宋体" w:eastAsia="宋体" w:cs="宋体"/>
          <w:sz w:val="21"/>
          <w:szCs w:val="21"/>
          <w:highlight w:val="none"/>
        </w:rPr>
      </w:r>
      <w:r/>
    </w:p>
    <w:p>
      <w:pPr>
        <w:pStyle w:val="973"/>
        <w:numPr>
          <w:ilvl w:val="0"/>
          <w:numId w:val="18"/>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提供3年驻场运维服务，驻场人员不少于5人，与用户同址办公，深度参与日常管理。</w:t>
      </w:r>
      <w:r>
        <w:rPr>
          <w:rFonts w:hint="eastAsia" w:ascii="宋体" w:hAnsi="宋体" w:eastAsia="宋体" w:cs="宋体"/>
          <w:sz w:val="21"/>
          <w:szCs w:val="21"/>
          <w:highlight w:val="none"/>
          <w:lang w:val="en-US" w:eastAsia="zh-CN" w:bidi="ar-SA"/>
        </w:rPr>
      </w:r>
      <w:r/>
    </w:p>
    <w:p>
      <w:pPr>
        <w:pStyle w:val="973"/>
        <w:numPr>
          <w:ilvl w:val="0"/>
          <w:numId w:val="18"/>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提供数据持续更新、模型算法优化、系统功能迭代服务。</w:t>
      </w:r>
      <w:r>
        <w:rPr>
          <w:rFonts w:hint="eastAsia" w:ascii="宋体" w:hAnsi="宋体" w:eastAsia="宋体" w:cs="宋体"/>
          <w:sz w:val="21"/>
          <w:szCs w:val="21"/>
          <w:highlight w:val="none"/>
          <w:lang w:val="en-US" w:eastAsia="zh-CN" w:bidi="ar-SA"/>
        </w:rPr>
      </w:r>
      <w:r/>
    </w:p>
    <w:p>
      <w:pPr>
        <w:pStyle w:val="973"/>
        <w:numPr>
          <w:ilvl w:val="0"/>
          <w:numId w:val="18"/>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每年汛期提供7×24小时数据监测与应急支撑。</w:t>
      </w:r>
      <w:r>
        <w:rPr>
          <w:rFonts w:hint="eastAsia" w:ascii="宋体" w:hAnsi="宋体" w:eastAsia="宋体" w:cs="宋体"/>
          <w:sz w:val="21"/>
          <w:szCs w:val="21"/>
          <w:highlight w:val="none"/>
          <w:lang w:val="en-US" w:eastAsia="zh-CN" w:bidi="ar-SA"/>
        </w:rPr>
      </w:r>
      <w:r/>
    </w:p>
    <w:p>
      <w:pPr>
        <w:pStyle w:val="973"/>
        <w:numPr>
          <w:ilvl w:val="0"/>
          <w:numId w:val="18"/>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每年组织不少于4次培训，覆盖领导层、管理员、一线人员，确保系统“用起来、离不开”。</w:t>
      </w:r>
      <w:r>
        <w:rPr>
          <w:rFonts w:hint="eastAsia" w:ascii="宋体" w:hAnsi="宋体" w:eastAsia="宋体" w:cs="宋体"/>
          <w:sz w:val="21"/>
          <w:szCs w:val="21"/>
          <w:highlight w:val="none"/>
          <w:lang w:val="en-US" w:eastAsia="zh-CN" w:bidi="ar-SA"/>
        </w:rPr>
      </w:r>
      <w:r/>
    </w:p>
    <w:p>
      <w:pPr>
        <w:pStyle w:val="973"/>
        <w:ind w:left="0" w:firstLine="422"/>
        <w:jc w:val="both"/>
        <w:keepLines/>
        <w:keepNext/>
        <w:pageBreakBefore w:val="0"/>
        <w:spacing w:before="0" w:after="0" w:line="440" w:lineRule="exact"/>
        <w:widowControl/>
        <w:rPr>
          <w:rFonts w:hint="eastAsia" w:ascii="宋体" w:hAnsi="宋体" w:eastAsia="宋体" w:cs="宋体"/>
          <w:b/>
          <w:bCs w:val="0"/>
          <w:sz w:val="21"/>
          <w:szCs w:val="21"/>
          <w:highlight w:val="none"/>
          <w:lang w:val="en-US" w:eastAsia="zh-CN" w:bidi="ar-SA"/>
        </w:rPr>
        <w:outlineLvl w:val="2"/>
      </w:pPr>
      <w:r/>
      <w:bookmarkStart w:id="69" w:name="_Toc23196"/>
      <w:r>
        <w:rPr>
          <w:rFonts w:hint="eastAsia" w:ascii="宋体" w:hAnsi="宋体" w:eastAsia="宋体" w:cs="宋体"/>
          <w:b/>
          <w:bCs w:val="0"/>
          <w:sz w:val="21"/>
          <w:szCs w:val="21"/>
          <w:highlight w:val="none"/>
          <w:lang w:val="en-US" w:eastAsia="zh-CN" w:bidi="ar-SA"/>
        </w:rPr>
        <w:t xml:space="preserve">2、分期任务</w:t>
      </w:r>
      <w:bookmarkEnd w:id="69"/>
      <w:r>
        <w:rPr>
          <w:rFonts w:hint="eastAsia" w:ascii="宋体" w:hAnsi="宋体" w:eastAsia="宋体" w:cs="宋体"/>
          <w:b/>
          <w:bCs w:val="0"/>
          <w:sz w:val="21"/>
          <w:szCs w:val="21"/>
          <w:highlight w:val="none"/>
          <w:lang w:val="en-US" w:eastAsia="zh-CN" w:bidi="ar-SA"/>
        </w:rPr>
      </w:r>
      <w:r/>
    </w:p>
    <w:p>
      <w:pPr>
        <w:pStyle w:val="973"/>
        <w:numPr>
          <w:ilvl w:val="0"/>
          <w:numId w:val="1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第一阶段：建设期（第1-6个月）</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完成项目团队组建、需求细化确认。</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完成历史数据初步治理、标准化入库。</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完成硬件设备采购、安装、调试。</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完成平台基础框架开发、核心功能上线。</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完成与生命线工程、气象、水利等关键系统对接。</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系统上线试运行，开展首轮用户培训。</w:t>
      </w:r>
      <w:r>
        <w:rPr>
          <w:rFonts w:hint="eastAsia" w:ascii="宋体" w:hAnsi="宋体" w:eastAsia="宋体" w:cs="宋体"/>
          <w:sz w:val="21"/>
          <w:szCs w:val="21"/>
          <w:highlight w:val="none"/>
        </w:rPr>
      </w:r>
      <w:r/>
    </w:p>
    <w:p>
      <w:pPr>
        <w:pStyle w:val="973"/>
        <w:numPr>
          <w:ilvl w:val="0"/>
          <w:numId w:val="20"/>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第二阶段：运营期第1年（第7-18个月）</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持续优化系统功能，修复bug，响应用户需求变更。</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完成剩余历史数据深度治理，核心数据准确率达到99.37%。</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根据实际运行情况调整监测设备布点。</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完善算法模型，提升预警准确率。</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开展季度培训，培养用户习惯。</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接受季度考核，按结果结算服务费。</w:t>
      </w:r>
      <w:r>
        <w:rPr>
          <w:rFonts w:hint="eastAsia" w:ascii="宋体" w:hAnsi="宋体" w:eastAsia="宋体" w:cs="宋体"/>
          <w:sz w:val="21"/>
          <w:szCs w:val="21"/>
          <w:highlight w:val="none"/>
        </w:rPr>
      </w:r>
      <w:r/>
    </w:p>
    <w:p>
      <w:pPr>
        <w:pStyle w:val="973"/>
        <w:numPr>
          <w:ilvl w:val="0"/>
          <w:numId w:val="21"/>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第三阶段：运营期第2年（第19-30个月）</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系统功能迭代升级，拓展新的应用场景。</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数据持续更新，保持鲜活。</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汛期7×24小时应急保障。</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探索数据增值服务，为规划、设计提供数据支撑。</w:t>
      </w:r>
      <w:r>
        <w:rPr>
          <w:rFonts w:hint="eastAsia" w:ascii="宋体" w:hAnsi="宋体" w:eastAsia="宋体" w:cs="宋体"/>
          <w:sz w:val="21"/>
          <w:szCs w:val="21"/>
          <w:highlight w:val="none"/>
        </w:rPr>
      </w:r>
      <w:r/>
    </w:p>
    <w:p>
      <w:pPr>
        <w:pStyle w:val="973"/>
        <w:numPr>
          <w:ilvl w:val="0"/>
          <w:numId w:val="22"/>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第四阶段：运营期第3年（第31-36个月）</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系统稳定运行，知识转移全面展开。</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完成全部源代码、设计文档、运维手册移交。</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确保建设单位人员可独立运维。</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b/>
          <w:bCs w:val="0"/>
          <w:sz w:val="21"/>
          <w:szCs w:val="21"/>
          <w:highlight w:val="none"/>
          <w:lang w:val="en-US" w:eastAsia="zh-CN" w:bidi="ar-SA"/>
        </w:rPr>
      </w:pPr>
      <w:r>
        <w:rPr>
          <w:rFonts w:hint="eastAsia" w:ascii="宋体" w:hAnsi="宋体" w:eastAsia="宋体" w:cs="宋体"/>
          <w:sz w:val="21"/>
          <w:szCs w:val="21"/>
          <w:highlight w:val="none"/>
        </w:rPr>
        <w:t xml:space="preserve">项目终验，总结提炼可复制推广的经验模式。</w:t>
      </w:r>
      <w:r>
        <w:rPr>
          <w:rFonts w:hint="eastAsia" w:ascii="宋体" w:hAnsi="宋体" w:eastAsia="宋体" w:cs="宋体"/>
          <w:b/>
          <w:bCs w:val="0"/>
          <w:sz w:val="21"/>
          <w:szCs w:val="21"/>
          <w:highlight w:val="none"/>
          <w:lang w:val="en-US" w:eastAsia="zh-CN" w:bidi="ar-SA"/>
        </w:rPr>
      </w:r>
      <w:r/>
    </w:p>
    <w:p>
      <w:pPr>
        <w:pStyle w:val="973"/>
        <w:numPr>
          <w:ilvl w:val="0"/>
          <w:numId w:val="0"/>
        </w:numPr>
        <w:ind w:left="0"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八、项目建设思路</w:t>
      </w:r>
      <w:r>
        <w:rPr>
          <w:rFonts w:hint="eastAsia" w:ascii="宋体" w:hAnsi="宋体" w:eastAsia="宋体" w:cs="宋体"/>
          <w:b/>
          <w:bCs w:val="0"/>
          <w:sz w:val="21"/>
          <w:szCs w:val="21"/>
          <w:highlight w:val="none"/>
          <w:lang w:val="en-US" w:eastAsia="zh-CN" w:bidi="ar-SA"/>
        </w:rPr>
      </w:r>
      <w:r/>
    </w:p>
    <w:p>
      <w:pPr>
        <w:pStyle w:val="973"/>
        <w:numPr>
          <w:ilvl w:val="0"/>
          <w:numId w:val="23"/>
        </w:numPr>
        <w:ind w:left="0"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系统架构</w:t>
      </w:r>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本项目采用“端-网-云-用”四层架构，以排水综合管理平台为核心，通过采集网关汇聚前端感知数据，构建全市统一的排水综合管理平台。</w:t>
      </w:r>
      <w:r>
        <w:rPr>
          <w:rFonts w:hint="eastAsia" w:ascii="宋体" w:hAnsi="宋体" w:eastAsia="宋体" w:cs="宋体"/>
          <w:sz w:val="21"/>
          <w:szCs w:val="21"/>
          <w:highlight w:val="none"/>
        </w:rPr>
      </w:r>
      <w:r/>
    </w:p>
    <w:p>
      <w:pPr>
        <w:pStyle w:val="973"/>
        <w:numPr>
          <w:ilvl w:val="0"/>
          <w:numId w:val="23"/>
        </w:numPr>
        <w:ind w:left="0"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网络架构</w:t>
      </w:r>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本项目建设依托扬州市政务云和电子政务外网，构建一个安全、稳定、高效的网络环境。整体网络架构遵循“分层分区、边界防护、数据隔离”的原则，同样构建“端-网-云-用”网络架构。</w:t>
      </w:r>
      <w:r>
        <w:rPr>
          <w:rFonts w:hint="eastAsia" w:ascii="宋体" w:hAnsi="宋体" w:eastAsia="宋体" w:cs="宋体"/>
          <w:sz w:val="21"/>
          <w:szCs w:val="21"/>
          <w:highlight w:val="none"/>
        </w:rPr>
      </w:r>
      <w:r/>
    </w:p>
    <w:p>
      <w:pPr>
        <w:pStyle w:val="973"/>
        <w:numPr>
          <w:ilvl w:val="0"/>
          <w:numId w:val="23"/>
        </w:numPr>
        <w:ind w:left="0"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数据资源架构</w:t>
      </w:r>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（1）数据分类与编码</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参照相关规范及仪征市实际，构建“大类-中类-小类-唯一码”四级编码体系，为每一处设施、每一台设备、每一份文档赋予唯一数字身份</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（2）数据汇聚治理</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多源采集：采集实时监测数据（经网关转发），通过ETL工具抽取外部系统数据，通过批量导入工具将历史档案数据入库。</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校验：设置数据质量规则（非空校验、范围校验、一致性校验、逻辑校验），对异常数据自动标记、告警。根据类似项目经验，常见错误包括坐标偏移、字段缺失、图文不一致等6类，系统可自动识别并推送至管理员复核。</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标准化处理：将多源数据转换为统一格式，包括单位统一（如管径统一为毫米）、坐标系统一（如CGCS2000）、时间格式统一（如ISO8601）。</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关联融合：基于设施编码，将实时监测数据、业务数据、空间数据关联，形成完整的设施数字档案。例如，点击某段管网，可同时查看其设计图纸、竣工资料、历年CCTV视频、实时液位曲线、养护记录。</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数据治理目标：核心字段准确率达到99.37%（4个西格玛水平），即每百万个数据点中缺陷不超过6300个。</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（3）数据存储策略</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基础数据库：存储设施属性、地理信息、人员组织、排水户档案等静态数据，支持事务处理、复杂查询。</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监测数据库：存储液位、流量、水质等时序数据，支持高并发写入、快速聚合查询。</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空间数据库：存储GIS地图数据、管网空间数据，支持空间索引、空间分析函数。</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文件存储：存储视频、图片、文档等非结构化数据，支持分片上传、断点续传、在线预览。</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（4）数据服务</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数据查询服务：提供RESTful API等接口，支持按设施、按时间、按空间范围查询数据。</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数据订阅服务：支持外部系统订阅监测数据、报警事件，支持通过MQTT协议实时推送。</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数据导出服务：支持按条件导出报表、图表、原始数据。</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数据共享目录：按照政务数据共享要求，编制数据资源目录，向市大数据平台注册，供跨部门调用。</w:t>
      </w:r>
      <w:r>
        <w:rPr>
          <w:rFonts w:hint="eastAsia" w:ascii="宋体" w:hAnsi="宋体" w:eastAsia="宋体" w:cs="宋体"/>
          <w:sz w:val="21"/>
          <w:szCs w:val="21"/>
          <w:highlight w:val="none"/>
        </w:rPr>
      </w:r>
      <w:r/>
    </w:p>
    <w:p>
      <w:pPr>
        <w:pStyle w:val="973"/>
        <w:numPr>
          <w:ilvl w:val="0"/>
          <w:numId w:val="23"/>
        </w:numPr>
        <w:ind w:left="0"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系统安全保障</w:t>
      </w:r>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严格遵循《国家政务信息化项目建设管理办法》《江苏省“十四五”数字政府建设规划》《扬州市政务信息化项目管理办法》以及国家关于“安全可靠”工程的相关要求，坚持自主可控、安全可信、集约高效的建设原则，全栈采用</w:t>
      </w:r>
      <w:r>
        <w:rPr>
          <w:rFonts w:hint="eastAsia" w:ascii="宋体" w:hAnsi="宋体" w:eastAsia="宋体" w:cs="宋体"/>
          <w:sz w:val="21"/>
          <w:szCs w:val="21"/>
          <w:highlight w:val="none"/>
          <w:lang w:eastAsia="zh-CN"/>
        </w:rPr>
        <w:t xml:space="preserve">安全可靠</w:t>
      </w:r>
      <w:r>
        <w:rPr>
          <w:rFonts w:hint="eastAsia" w:ascii="宋体" w:hAnsi="宋体" w:eastAsia="宋体" w:cs="宋体"/>
          <w:sz w:val="21"/>
          <w:szCs w:val="21"/>
          <w:highlight w:val="none"/>
        </w:rPr>
        <w:t xml:space="preserve">技术体系。以“安全可靠”为核心主线，从底层硬件到上层应用，构建完整的</w:t>
      </w:r>
      <w:r>
        <w:rPr>
          <w:rFonts w:hint="eastAsia" w:ascii="宋体" w:hAnsi="宋体" w:eastAsia="宋体" w:cs="宋体"/>
          <w:sz w:val="21"/>
          <w:szCs w:val="21"/>
          <w:highlight w:val="none"/>
          <w:lang w:eastAsia="zh-CN"/>
        </w:rPr>
        <w:t xml:space="preserve">安全可靠</w:t>
      </w:r>
      <w:r>
        <w:rPr>
          <w:rFonts w:hint="eastAsia" w:ascii="宋体" w:hAnsi="宋体" w:eastAsia="宋体" w:cs="宋体"/>
          <w:sz w:val="21"/>
          <w:szCs w:val="21"/>
          <w:highlight w:val="none"/>
        </w:rPr>
        <w:t xml:space="preserve">技术栈。项目所有软硬件产品均确保技术自主可控。同时，通过</w:t>
      </w:r>
      <w:r>
        <w:rPr>
          <w:rFonts w:hint="eastAsia" w:ascii="宋体" w:hAnsi="宋体" w:eastAsia="宋体" w:cs="宋体"/>
          <w:sz w:val="21"/>
          <w:szCs w:val="21"/>
          <w:highlight w:val="none"/>
          <w:lang w:eastAsia="zh-CN"/>
        </w:rPr>
        <w:t xml:space="preserve">安全可靠</w:t>
      </w:r>
      <w:r>
        <w:rPr>
          <w:rFonts w:hint="eastAsia" w:ascii="宋体" w:hAnsi="宋体" w:eastAsia="宋体" w:cs="宋体"/>
          <w:sz w:val="21"/>
          <w:szCs w:val="21"/>
          <w:highlight w:val="none"/>
        </w:rPr>
        <w:t xml:space="preserve">技术组件与行业成熟方案的深度融合，在保障系统高可用、高性能的基础上，实现排水管理业务的平稳运行与持续演进。</w:t>
      </w:r>
      <w:r>
        <w:rPr>
          <w:rFonts w:hint="eastAsia" w:ascii="宋体" w:hAnsi="宋体" w:eastAsia="宋体" w:cs="宋体"/>
          <w:sz w:val="21"/>
          <w:szCs w:val="21"/>
          <w:highlight w:val="none"/>
        </w:rPr>
      </w:r>
      <w:r/>
    </w:p>
    <w:p>
      <w:pPr>
        <w:pStyle w:val="973"/>
        <w:numPr>
          <w:ilvl w:val="0"/>
          <w:numId w:val="0"/>
        </w:numPr>
        <w:ind w:left="0"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九、项目建设方案</w:t>
      </w:r>
      <w:r>
        <w:rPr>
          <w:rFonts w:hint="eastAsia" w:ascii="宋体" w:hAnsi="宋体" w:eastAsia="宋体" w:cs="宋体"/>
          <w:b/>
          <w:bCs w:val="0"/>
          <w:sz w:val="21"/>
          <w:szCs w:val="21"/>
          <w:highlight w:val="none"/>
          <w:lang w:val="en-US" w:eastAsia="zh-CN" w:bidi="ar-SA"/>
        </w:rPr>
      </w:r>
      <w:r/>
    </w:p>
    <w:p>
      <w:pPr>
        <w:pStyle w:val="973"/>
        <w:ind w:left="0" w:firstLine="420"/>
        <w:jc w:val="left"/>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1"/>
      </w:pPr>
      <w:r/>
      <w:bookmarkStart w:id="70" w:name="_Toc31208"/>
      <w:r>
        <w:rPr>
          <w:rFonts w:hint="eastAsia" w:ascii="宋体" w:hAnsi="宋体" w:eastAsia="宋体" w:cs="宋体"/>
          <w:b w:val="0"/>
          <w:bCs/>
          <w:sz w:val="21"/>
          <w:szCs w:val="21"/>
          <w:highlight w:val="none"/>
          <w:lang w:val="en-US" w:eastAsia="zh-CN" w:bidi="ar-SA"/>
        </w:rPr>
        <w:t xml:space="preserve">1、子系统（模块）</w:t>
      </w:r>
      <w:bookmarkEnd w:id="70"/>
      <w:r>
        <w:rPr>
          <w:rFonts w:hint="eastAsia" w:ascii="宋体" w:hAnsi="宋体" w:eastAsia="宋体" w:cs="宋体"/>
          <w:b w:val="0"/>
          <w:bCs/>
          <w:sz w:val="21"/>
          <w:szCs w:val="21"/>
          <w:highlight w:val="none"/>
          <w:lang w:val="en-US" w:eastAsia="zh-CN" w:bidi="ar-SA"/>
        </w:rPr>
      </w:r>
      <w:r/>
    </w:p>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2"/>
      </w:pPr>
      <w:r/>
      <w:bookmarkStart w:id="71" w:name="_Toc19330"/>
      <w:r>
        <w:rPr>
          <w:rFonts w:hint="eastAsia" w:ascii="宋体" w:hAnsi="宋体" w:eastAsia="宋体" w:cs="宋体"/>
          <w:b w:val="0"/>
          <w:bCs w:val="0"/>
          <w:sz w:val="21"/>
          <w:szCs w:val="21"/>
          <w:highlight w:val="none"/>
          <w:lang w:val="en-US" w:eastAsia="zh-CN" w:bidi="ar-SA"/>
        </w:rPr>
        <w:t xml:space="preserve">（1） 排</w:t>
      </w:r>
      <w:r>
        <w:rPr>
          <w:rFonts w:hint="eastAsia" w:ascii="宋体" w:hAnsi="宋体" w:eastAsia="宋体" w:cs="宋体"/>
          <w:b w:val="0"/>
          <w:bCs/>
          <w:sz w:val="21"/>
          <w:szCs w:val="21"/>
          <w:highlight w:val="none"/>
          <w:lang w:val="en-US" w:eastAsia="zh-CN" w:bidi="ar-SA"/>
        </w:rPr>
        <w:t xml:space="preserve">水综合管理专项平台（GIS综合管理平台）</w:t>
      </w:r>
      <w:bookmarkEnd w:id="71"/>
      <w:r>
        <w:rPr>
          <w:rFonts w:hint="eastAsia" w:ascii="宋体" w:hAnsi="宋体" w:eastAsia="宋体" w:cs="宋体"/>
          <w:b w:val="0"/>
          <w:bCs/>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水综合管理专项平台是项目的核心，基于地理信息系统（GIS）技术，融合排水管网、排口、泵站、调蓄池、污水处理厂等设施的空间数据、属性数据、运行数据、监测数据，为排水设施数字化建模、空间可视化管理、全业务流程联动、智能决策支撑提供一体化服务。</w:t>
      </w:r>
      <w:r>
        <w:rPr>
          <w:rFonts w:hint="eastAsia" w:ascii="宋体" w:hAnsi="宋体" w:eastAsia="宋体" w:cs="宋体"/>
          <w:sz w:val="21"/>
          <w:szCs w:val="21"/>
          <w:highlight w:val="none"/>
        </w:rPr>
      </w:r>
      <w:r/>
    </w:p>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bCs/>
          <w:sz w:val="21"/>
          <w:szCs w:val="21"/>
          <w:highlight w:val="none"/>
          <w:lang w:val="en-US" w:eastAsia="zh-CN" w:bidi="ar-SA"/>
        </w:rPr>
        <w:t xml:space="preserve">系统功能描述</w:t>
      </w:r>
      <w:r>
        <w:rPr>
          <w:rFonts w:hint="eastAsia" w:ascii="宋体" w:hAnsi="宋体" w:eastAsia="宋体" w:cs="宋体"/>
          <w:b w:val="0"/>
          <w:bCs/>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 </w:t>
      </w:r>
      <w:r>
        <w:rPr>
          <w:rFonts w:hint="eastAsia" w:ascii="宋体" w:hAnsi="宋体" w:eastAsia="宋体" w:cs="宋体"/>
          <w:sz w:val="21"/>
          <w:szCs w:val="21"/>
          <w:highlight w:val="none"/>
        </w:rPr>
        <w:t xml:space="preserve">涉水资产GIS一张图</w:t>
      </w:r>
      <w:r>
        <w:rPr>
          <w:rFonts w:hint="eastAsia" w:ascii="宋体" w:hAnsi="宋体" w:eastAsia="宋体" w:cs="宋体"/>
          <w:sz w:val="21"/>
          <w:szCs w:val="21"/>
          <w:highlight w:val="none"/>
        </w:rPr>
      </w:r>
      <w:r/>
    </w:p>
    <w:tbl>
      <w:tblPr>
        <w:tblW w:w="9225" w:type="dxa"/>
        <w:tblInd w:w="-14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290"/>
        <w:gridCol w:w="5670"/>
        <w:gridCol w:w="1545"/>
      </w:tblGrid>
      <w:tr>
        <w:trPr>
          <w:trHeight w:val="54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图层名称</w:t>
            </w:r>
            <w:r>
              <w:rPr>
                <w:rFonts w:hint="eastAsia" w:ascii="宋体" w:hAnsi="宋体" w:eastAsia="宋体" w:cs="宋体"/>
                <w:b/>
                <w:bCs/>
                <w:color w:val="000000"/>
                <w:sz w:val="21"/>
                <w:szCs w:val="21"/>
                <w:highlight w:val="none"/>
              </w:rPr>
            </w:r>
            <w:r/>
          </w:p>
        </w:tc>
        <w:tc>
          <w:tcPr>
            <w:tcW w:w="567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图层内容说明</w:t>
            </w:r>
            <w:r>
              <w:rPr>
                <w:rFonts w:hint="eastAsia" w:ascii="宋体" w:hAnsi="宋体" w:eastAsia="宋体" w:cs="宋体"/>
                <w:b/>
                <w:bCs/>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数据来源</w:t>
            </w:r>
            <w:r>
              <w:rPr>
                <w:rFonts w:hint="eastAsia" w:ascii="宋体" w:hAnsi="宋体" w:eastAsia="宋体" w:cs="宋体"/>
                <w:b/>
                <w:bCs/>
                <w:color w:val="000000"/>
                <w:sz w:val="21"/>
                <w:szCs w:val="21"/>
                <w:highlight w:val="none"/>
              </w:rPr>
            </w:r>
            <w:r/>
          </w:p>
        </w:tc>
      </w:tr>
      <w:tr>
        <w:trPr>
          <w:trHeight w:val="733"/>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河湖</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显示全市主要河流、湖泊的水面范围，标注名称、流域面积、河湖长信息</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基础地理数据</w:t>
            </w:r>
            <w:r>
              <w:rPr>
                <w:rFonts w:hint="eastAsia" w:ascii="宋体" w:hAnsi="宋体" w:eastAsia="宋体" w:cs="宋体"/>
                <w:color w:val="000000"/>
                <w:sz w:val="21"/>
                <w:szCs w:val="21"/>
                <w:highlight w:val="none"/>
              </w:rPr>
            </w:r>
            <w:r/>
          </w:p>
        </w:tc>
      </w:tr>
      <w:tr>
        <w:trPr>
          <w:trHeight w:val="663"/>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入河排口</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标注所有入河排放口位置，区分正常排口/问题大排口，点击可查看排放口编码、受纳水体、排放方式、最近水质数据</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普查数据+动态监测</w:t>
            </w:r>
            <w:r>
              <w:rPr>
                <w:rFonts w:hint="eastAsia" w:ascii="宋体" w:hAnsi="宋体" w:eastAsia="宋体" w:cs="宋体"/>
                <w:color w:val="000000"/>
                <w:sz w:val="21"/>
                <w:szCs w:val="21"/>
                <w:highlight w:val="none"/>
              </w:rPr>
            </w:r>
            <w:r/>
          </w:p>
        </w:tc>
      </w:tr>
      <w:tr>
        <w:trPr>
          <w:trHeight w:val="70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排水户雨水排口</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显示排水户的雨水排放口，区分已整改/未整改/反弹状态</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排水许可数据+巡检</w:t>
            </w:r>
            <w:r>
              <w:rPr>
                <w:rFonts w:hint="eastAsia" w:ascii="宋体" w:hAnsi="宋体" w:eastAsia="宋体" w:cs="宋体"/>
                <w:color w:val="000000"/>
                <w:sz w:val="21"/>
                <w:szCs w:val="21"/>
                <w:highlight w:val="none"/>
              </w:rPr>
            </w:r>
            <w:r/>
          </w:p>
        </w:tc>
      </w:tr>
      <w:tr>
        <w:trPr>
          <w:trHeight w:val="55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排水户污水排口</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显示排水户的污水排放口，区分已整改/未整改/反弹状态</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排水许可数据+巡检</w:t>
            </w:r>
            <w:r>
              <w:rPr>
                <w:rFonts w:hint="eastAsia" w:ascii="宋体" w:hAnsi="宋体" w:eastAsia="宋体" w:cs="宋体"/>
                <w:color w:val="000000"/>
                <w:sz w:val="21"/>
                <w:szCs w:val="21"/>
                <w:highlight w:val="none"/>
              </w:rPr>
            </w:r>
            <w:r/>
          </w:p>
        </w:tc>
      </w:tr>
      <w:tr>
        <w:trPr>
          <w:trHeight w:val="693"/>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雨水箅</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显示道路雨水箅位置，点击可查看编号、所属道路、井盖状态</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普查数据</w:t>
            </w:r>
            <w:r>
              <w:rPr>
                <w:rFonts w:hint="eastAsia" w:ascii="宋体" w:hAnsi="宋体" w:eastAsia="宋体" w:cs="宋体"/>
                <w:color w:val="000000"/>
                <w:sz w:val="21"/>
                <w:szCs w:val="21"/>
                <w:highlight w:val="none"/>
              </w:rPr>
            </w:r>
            <w:r/>
          </w:p>
        </w:tc>
      </w:tr>
      <w:tr>
        <w:trPr>
          <w:trHeight w:val="643"/>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雨水检查井</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显示雨水检查井位置，点击可查看井编号、井盖高、井底高、井深、探测时水深泥深等信息</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普查数据</w:t>
            </w:r>
            <w:r>
              <w:rPr>
                <w:rFonts w:hint="eastAsia" w:ascii="宋体" w:hAnsi="宋体" w:eastAsia="宋体" w:cs="宋体"/>
                <w:color w:val="000000"/>
                <w:sz w:val="21"/>
                <w:szCs w:val="21"/>
                <w:highlight w:val="none"/>
              </w:rPr>
            </w:r>
            <w:r/>
          </w:p>
        </w:tc>
      </w:tr>
      <w:tr>
        <w:trPr>
          <w:trHeight w:val="753"/>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雨水管线</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显示雨水管道走向，以不同颜色表示管径、材质、建设年代。点击某段管道可查看管长、管径、材质、起点终点标高、流向动画</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普查数据</w:t>
            </w:r>
            <w:r>
              <w:rPr>
                <w:rFonts w:hint="eastAsia" w:ascii="宋体" w:hAnsi="宋体" w:eastAsia="宋体" w:cs="宋体"/>
                <w:color w:val="000000"/>
                <w:sz w:val="21"/>
                <w:szCs w:val="21"/>
                <w:highlight w:val="none"/>
              </w:rPr>
            </w:r>
            <w:r/>
          </w:p>
        </w:tc>
      </w:tr>
      <w:tr>
        <w:trPr>
          <w:trHeight w:val="54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污水检查井</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类似雨水检查井，显示污水检查井属性</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普查数据</w:t>
            </w:r>
            <w:r>
              <w:rPr>
                <w:rFonts w:hint="eastAsia" w:ascii="宋体" w:hAnsi="宋体" w:eastAsia="宋体" w:cs="宋体"/>
                <w:color w:val="000000"/>
                <w:sz w:val="21"/>
                <w:szCs w:val="21"/>
                <w:highlight w:val="none"/>
              </w:rPr>
            </w:r>
            <w:r/>
          </w:p>
        </w:tc>
      </w:tr>
      <w:tr>
        <w:trPr>
          <w:trHeight w:val="54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污水管线</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类似雨水管线，显示污水管道属性</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普查数据</w:t>
            </w:r>
            <w:r>
              <w:rPr>
                <w:rFonts w:hint="eastAsia" w:ascii="宋体" w:hAnsi="宋体" w:eastAsia="宋体" w:cs="宋体"/>
                <w:color w:val="000000"/>
                <w:sz w:val="21"/>
                <w:szCs w:val="21"/>
                <w:highlight w:val="none"/>
              </w:rPr>
            </w:r>
            <w:r/>
          </w:p>
        </w:tc>
      </w:tr>
      <w:tr>
        <w:trPr>
          <w:trHeight w:val="90"/>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泵站</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显示各类泵站（旱季截流/污水/雨水/转输），点击可查看泵站类型、设计能力、实时运行参数（流量、液位、启停状态）、组态图</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泵站接入数据</w:t>
            </w:r>
            <w:r>
              <w:rPr>
                <w:rFonts w:hint="eastAsia" w:ascii="宋体" w:hAnsi="宋体" w:eastAsia="宋体" w:cs="宋体"/>
                <w:color w:val="000000"/>
                <w:sz w:val="21"/>
                <w:szCs w:val="21"/>
                <w:highlight w:val="none"/>
              </w:rPr>
            </w:r>
            <w:r/>
          </w:p>
        </w:tc>
      </w:tr>
      <w:tr>
        <w:trPr>
          <w:trHeight w:val="583"/>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河道闸阀</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显示河道闸阀位置，点击可查看闸阀类型、开度、实时状态</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水利共享数据</w:t>
            </w:r>
            <w:r>
              <w:rPr>
                <w:rFonts w:hint="eastAsia" w:ascii="宋体" w:hAnsi="宋体" w:eastAsia="宋体" w:cs="宋体"/>
                <w:color w:val="000000"/>
                <w:sz w:val="21"/>
                <w:szCs w:val="21"/>
                <w:highlight w:val="none"/>
              </w:rPr>
            </w:r>
            <w:r/>
          </w:p>
        </w:tc>
      </w:tr>
      <w:tr>
        <w:trPr>
          <w:trHeight w:val="693"/>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流域</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显示流域分区边界，点击可查看流域面积、涉及管网长度、泵站数量</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规划数据</w:t>
            </w:r>
            <w:r>
              <w:rPr>
                <w:rFonts w:hint="eastAsia" w:ascii="宋体" w:hAnsi="宋体" w:eastAsia="宋体" w:cs="宋体"/>
                <w:color w:val="000000"/>
                <w:sz w:val="21"/>
                <w:szCs w:val="21"/>
                <w:highlight w:val="none"/>
              </w:rPr>
            </w:r>
            <w:r/>
          </w:p>
        </w:tc>
      </w:tr>
      <w:tr>
        <w:trPr>
          <w:trHeight w:val="54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入河排口汇水范围</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显示每个入河排口的汇水区域边界</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模型计算</w:t>
            </w:r>
            <w:r>
              <w:rPr>
                <w:rFonts w:hint="eastAsia" w:ascii="宋体" w:hAnsi="宋体" w:eastAsia="宋体" w:cs="宋体"/>
                <w:color w:val="000000"/>
                <w:sz w:val="21"/>
                <w:szCs w:val="21"/>
                <w:highlight w:val="none"/>
              </w:rPr>
            </w:r>
            <w:r/>
          </w:p>
        </w:tc>
      </w:tr>
      <w:tr>
        <w:trPr>
          <w:trHeight w:val="54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污水厂收水范围</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显示各污水处理厂的服务范围边界</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规划数据</w:t>
            </w:r>
            <w:r>
              <w:rPr>
                <w:rFonts w:hint="eastAsia" w:ascii="宋体" w:hAnsi="宋体" w:eastAsia="宋体" w:cs="宋体"/>
                <w:color w:val="000000"/>
                <w:sz w:val="21"/>
                <w:szCs w:val="21"/>
                <w:highlight w:val="none"/>
              </w:rPr>
            </w:r>
            <w:r/>
          </w:p>
        </w:tc>
      </w:tr>
      <w:tr>
        <w:trPr>
          <w:trHeight w:val="523"/>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社区网格</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显示行政社区网格边界，便于按网格统计、派单</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民政数据</w:t>
            </w:r>
            <w:r>
              <w:rPr>
                <w:rFonts w:hint="eastAsia" w:ascii="宋体" w:hAnsi="宋体" w:eastAsia="宋体" w:cs="宋体"/>
                <w:color w:val="000000"/>
                <w:sz w:val="21"/>
                <w:szCs w:val="21"/>
                <w:highlight w:val="none"/>
              </w:rPr>
            </w:r>
            <w:r/>
          </w:p>
        </w:tc>
      </w:tr>
      <w:tr>
        <w:trPr>
          <w:trHeight w:val="663"/>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水质报告</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以不同颜色图标显示水质监测点位的预警等级（红/橙/黄/蓝）</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监测数据</w:t>
            </w:r>
            <w:r>
              <w:rPr>
                <w:rFonts w:hint="eastAsia" w:ascii="宋体" w:hAnsi="宋体" w:eastAsia="宋体" w:cs="宋体"/>
                <w:color w:val="000000"/>
                <w:sz w:val="21"/>
                <w:szCs w:val="21"/>
                <w:highlight w:val="none"/>
              </w:rPr>
            </w:r>
            <w:r/>
          </w:p>
        </w:tc>
      </w:tr>
      <w:tr>
        <w:trPr>
          <w:trHeight w:val="54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液位报告</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以不同颜色图标显示液位监测点位的预警等级</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监测数据</w:t>
            </w:r>
            <w:r>
              <w:rPr>
                <w:rFonts w:hint="eastAsia" w:ascii="宋体" w:hAnsi="宋体" w:eastAsia="宋体" w:cs="宋体"/>
                <w:color w:val="000000"/>
                <w:sz w:val="21"/>
                <w:szCs w:val="21"/>
                <w:highlight w:val="none"/>
              </w:rPr>
            </w:r>
            <w:r/>
          </w:p>
        </w:tc>
      </w:tr>
      <w:tr>
        <w:trPr>
          <w:trHeight w:val="773"/>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W w:w="12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监测设备</w:t>
            </w:r>
            <w:r>
              <w:rPr>
                <w:rFonts w:hint="eastAsia" w:ascii="宋体" w:hAnsi="宋体" w:eastAsia="宋体" w:cs="宋体"/>
                <w:color w:val="000000"/>
                <w:sz w:val="21"/>
                <w:szCs w:val="21"/>
                <w:highlight w:val="none"/>
              </w:rPr>
            </w:r>
            <w:r/>
          </w:p>
        </w:tc>
        <w:tc>
          <w:tcPr>
            <w:tcW w:w="5670"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显示液位计、流量计、雨量计、监控视频的位置及在线状态，点击可查看实时数据和历史曲线</w:t>
            </w:r>
            <w:r>
              <w:rPr>
                <w:rFonts w:hint="eastAsia" w:ascii="宋体" w:hAnsi="宋体" w:eastAsia="宋体" w:cs="宋体"/>
                <w:color w:val="000000"/>
                <w:sz w:val="21"/>
                <w:szCs w:val="21"/>
                <w:highlight w:val="none"/>
              </w:rPr>
            </w:r>
            <w:r/>
          </w:p>
        </w:tc>
        <w:tc>
          <w:tcPr>
            <w:tcW w:w="154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物联网数据</w:t>
            </w:r>
            <w:r>
              <w:rPr>
                <w:rFonts w:hint="eastAsia" w:ascii="宋体" w:hAnsi="宋体" w:eastAsia="宋体" w:cs="宋体"/>
                <w:color w:val="000000"/>
                <w:sz w:val="21"/>
                <w:szCs w:val="21"/>
                <w:highlight w:val="none"/>
              </w:rPr>
            </w:r>
            <w:r/>
          </w:p>
        </w:tc>
      </w:tr>
    </w:tbl>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2）专题图层</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支持包括不限于如下专题图层：</w:t>
      </w:r>
      <w:r>
        <w:rPr>
          <w:rFonts w:hint="eastAsia" w:ascii="宋体" w:hAnsi="宋体" w:eastAsia="宋体" w:cs="宋体"/>
          <w:sz w:val="21"/>
          <w:szCs w:val="21"/>
          <w:highlight w:val="none"/>
        </w:rPr>
      </w:r>
      <w:r/>
    </w:p>
    <w:tbl>
      <w:tblPr>
        <w:tblW w:w="9199" w:type="dxa"/>
        <w:tblInd w:w="-1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0"/>
        <w:gridCol w:w="2116"/>
        <w:gridCol w:w="4322"/>
        <w:gridCol w:w="2041"/>
      </w:tblGrid>
      <w:tr>
        <w:trPr>
          <w:trHeight w:val="635"/>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211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图层名称</w:t>
            </w:r>
            <w:r>
              <w:rPr>
                <w:rFonts w:hint="eastAsia" w:ascii="宋体" w:hAnsi="宋体" w:eastAsia="宋体" w:cs="宋体"/>
                <w:b/>
                <w:bCs/>
                <w:color w:val="000000"/>
                <w:sz w:val="21"/>
                <w:szCs w:val="21"/>
                <w:highlight w:val="none"/>
              </w:rPr>
            </w:r>
            <w:r/>
          </w:p>
        </w:tc>
        <w:tc>
          <w:tcPr>
            <w:tcW w:w="43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图层内容说明</w:t>
            </w:r>
            <w:r>
              <w:rPr>
                <w:rFonts w:hint="eastAsia" w:ascii="宋体" w:hAnsi="宋体" w:eastAsia="宋体" w:cs="宋体"/>
                <w:b/>
                <w:bCs/>
                <w:color w:val="000000"/>
                <w:sz w:val="21"/>
                <w:szCs w:val="21"/>
                <w:highlight w:val="none"/>
              </w:rPr>
            </w:r>
            <w:r/>
          </w:p>
        </w:tc>
        <w:tc>
          <w:tcPr>
            <w:tcW w:w="20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应用场景</w:t>
            </w:r>
            <w:r>
              <w:rPr>
                <w:rFonts w:hint="eastAsia" w:ascii="宋体" w:hAnsi="宋体" w:eastAsia="宋体" w:cs="宋体"/>
                <w:b/>
                <w:bCs/>
                <w:color w:val="000000"/>
                <w:sz w:val="21"/>
                <w:szCs w:val="21"/>
                <w:highlight w:val="none"/>
              </w:rPr>
            </w:r>
            <w:r/>
          </w:p>
        </w:tc>
      </w:tr>
      <w:tr>
        <w:trPr>
          <w:trHeight w:val="59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11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入河排口升级</w:t>
            </w:r>
            <w:r>
              <w:rPr>
                <w:rFonts w:hint="eastAsia" w:ascii="宋体" w:hAnsi="宋体" w:eastAsia="宋体" w:cs="宋体"/>
                <w:color w:val="000000"/>
                <w:sz w:val="21"/>
                <w:szCs w:val="21"/>
                <w:highlight w:val="none"/>
              </w:rPr>
            </w:r>
            <w:r/>
          </w:p>
        </w:tc>
        <w:tc>
          <w:tcPr>
            <w:tcW w:w="43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将入河排口细分为“正常排口/问题大排口”，用不同图标区分</w:t>
            </w: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便于重点监管问题排口</w:t>
            </w:r>
            <w:r>
              <w:rPr>
                <w:rFonts w:hint="eastAsia" w:ascii="宋体" w:hAnsi="宋体" w:eastAsia="宋体" w:cs="宋体"/>
                <w:color w:val="000000"/>
                <w:sz w:val="21"/>
                <w:szCs w:val="21"/>
                <w:highlight w:val="none"/>
              </w:rPr>
            </w:r>
            <w:r/>
          </w:p>
        </w:tc>
      </w:tr>
      <w:tr>
        <w:trPr>
          <w:trHeight w:val="693"/>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11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雨污水管线病害等级</w:t>
            </w:r>
            <w:r>
              <w:rPr>
                <w:rFonts w:hint="eastAsia" w:ascii="宋体" w:hAnsi="宋体" w:eastAsia="宋体" w:cs="宋体"/>
                <w:color w:val="000000"/>
                <w:sz w:val="21"/>
                <w:szCs w:val="21"/>
                <w:highlight w:val="none"/>
              </w:rPr>
            </w:r>
            <w:r/>
          </w:p>
        </w:tc>
        <w:tc>
          <w:tcPr>
            <w:tcW w:w="43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根据CCTV检测结果，将管线按病害严重程度分为1-4级，用不同颜色线型表示</w:t>
            </w: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直观展示需要修复的管段</w:t>
            </w:r>
            <w:r>
              <w:rPr>
                <w:rFonts w:hint="eastAsia" w:ascii="宋体" w:hAnsi="宋体" w:eastAsia="宋体" w:cs="宋体"/>
                <w:color w:val="000000"/>
                <w:sz w:val="21"/>
                <w:szCs w:val="21"/>
                <w:highlight w:val="none"/>
              </w:rPr>
            </w:r>
            <w:r/>
          </w:p>
        </w:tc>
      </w:tr>
      <w:tr>
        <w:trPr>
          <w:trHeight w:val="659"/>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11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病害改造状态</w:t>
            </w:r>
            <w:r>
              <w:rPr>
                <w:rFonts w:hint="eastAsia" w:ascii="宋体" w:hAnsi="宋体" w:eastAsia="宋体" w:cs="宋体"/>
                <w:color w:val="000000"/>
                <w:sz w:val="21"/>
                <w:szCs w:val="21"/>
                <w:highlight w:val="none"/>
              </w:rPr>
            </w:r>
            <w:r/>
          </w:p>
        </w:tc>
        <w:tc>
          <w:tcPr>
            <w:tcW w:w="43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区分“已排查正在改造”“已排查待改造”“待排查待改造”管网</w:t>
            </w: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跟踪改造进度</w:t>
            </w:r>
            <w:r>
              <w:rPr>
                <w:rFonts w:hint="eastAsia" w:ascii="宋体" w:hAnsi="宋体" w:eastAsia="宋体" w:cs="宋体"/>
                <w:color w:val="000000"/>
                <w:sz w:val="21"/>
                <w:szCs w:val="21"/>
                <w:highlight w:val="none"/>
              </w:rPr>
            </w:r>
            <w:r/>
          </w:p>
        </w:tc>
      </w:tr>
      <w:tr>
        <w:trPr>
          <w:trHeight w:val="59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11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历史积涝点解决状态</w:t>
            </w:r>
            <w:r>
              <w:rPr>
                <w:rFonts w:hint="eastAsia" w:ascii="宋体" w:hAnsi="宋体" w:eastAsia="宋体" w:cs="宋体"/>
                <w:color w:val="000000"/>
                <w:sz w:val="21"/>
                <w:szCs w:val="21"/>
                <w:highlight w:val="none"/>
              </w:rPr>
            </w:r>
            <w:r/>
          </w:p>
        </w:tc>
        <w:tc>
          <w:tcPr>
            <w:tcW w:w="43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区分“待解决/已解决/解决中”</w:t>
            </w: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内涝治理动态管理</w:t>
            </w:r>
            <w:r>
              <w:rPr>
                <w:rFonts w:hint="eastAsia" w:ascii="宋体" w:hAnsi="宋体" w:eastAsia="宋体" w:cs="宋体"/>
                <w:color w:val="000000"/>
                <w:sz w:val="21"/>
                <w:szCs w:val="21"/>
                <w:highlight w:val="none"/>
              </w:rPr>
            </w:r>
            <w:r/>
          </w:p>
        </w:tc>
      </w:tr>
      <w:tr>
        <w:trPr>
          <w:trHeight w:val="59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11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污水冒溢点解决状态</w:t>
            </w:r>
            <w:r>
              <w:rPr>
                <w:rFonts w:hint="eastAsia" w:ascii="宋体" w:hAnsi="宋体" w:eastAsia="宋体" w:cs="宋体"/>
                <w:color w:val="000000"/>
                <w:sz w:val="21"/>
                <w:szCs w:val="21"/>
                <w:highlight w:val="none"/>
              </w:rPr>
            </w:r>
            <w:r/>
          </w:p>
        </w:tc>
        <w:tc>
          <w:tcPr>
            <w:tcW w:w="43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区分“待解决/已解决/解决中”</w:t>
            </w: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污水冒溢治理跟踪</w:t>
            </w:r>
            <w:r>
              <w:rPr>
                <w:rFonts w:hint="eastAsia" w:ascii="宋体" w:hAnsi="宋体" w:eastAsia="宋体" w:cs="宋体"/>
                <w:color w:val="000000"/>
                <w:sz w:val="21"/>
                <w:szCs w:val="21"/>
                <w:highlight w:val="none"/>
              </w:rPr>
            </w:r>
            <w:r/>
          </w:p>
        </w:tc>
      </w:tr>
      <w:tr>
        <w:trPr>
          <w:trHeight w:val="59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211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用地性质</w:t>
            </w:r>
            <w:r>
              <w:rPr>
                <w:rFonts w:hint="eastAsia" w:ascii="宋体" w:hAnsi="宋体" w:eastAsia="宋体" w:cs="宋体"/>
                <w:color w:val="000000"/>
                <w:sz w:val="21"/>
                <w:szCs w:val="21"/>
                <w:highlight w:val="none"/>
              </w:rPr>
            </w:r>
            <w:r/>
          </w:p>
        </w:tc>
        <w:tc>
          <w:tcPr>
            <w:tcW w:w="43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叠加住宅/商业/教育/工业用地图层</w:t>
            </w: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分析排水户分布与用地关系</w:t>
            </w:r>
            <w:r>
              <w:rPr>
                <w:rFonts w:hint="eastAsia" w:ascii="宋体" w:hAnsi="宋体" w:eastAsia="宋体" w:cs="宋体"/>
                <w:color w:val="000000"/>
                <w:sz w:val="21"/>
                <w:szCs w:val="21"/>
                <w:highlight w:val="none"/>
              </w:rPr>
            </w:r>
            <w:r/>
          </w:p>
        </w:tc>
      </w:tr>
      <w:tr>
        <w:trPr>
          <w:trHeight w:val="59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211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整改范围</w:t>
            </w:r>
            <w:r>
              <w:rPr>
                <w:rFonts w:hint="eastAsia" w:ascii="宋体" w:hAnsi="宋体" w:eastAsia="宋体" w:cs="宋体"/>
                <w:color w:val="000000"/>
                <w:sz w:val="21"/>
                <w:szCs w:val="21"/>
                <w:highlight w:val="none"/>
              </w:rPr>
            </w:r>
            <w:r/>
          </w:p>
        </w:tc>
        <w:tc>
          <w:tcPr>
            <w:tcW w:w="43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区分“达标区/非达标区”</w:t>
            </w: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区域达标创建管理</w:t>
            </w:r>
            <w:r>
              <w:rPr>
                <w:rFonts w:hint="eastAsia" w:ascii="宋体" w:hAnsi="宋体" w:eastAsia="宋体" w:cs="宋体"/>
                <w:color w:val="000000"/>
                <w:sz w:val="21"/>
                <w:szCs w:val="21"/>
                <w:highlight w:val="none"/>
              </w:rPr>
            </w:r>
            <w:r/>
          </w:p>
        </w:tc>
      </w:tr>
      <w:tr>
        <w:trPr>
          <w:trHeight w:val="59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211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雨污混接点</w:t>
            </w:r>
            <w:r>
              <w:rPr>
                <w:rFonts w:hint="eastAsia" w:ascii="宋体" w:hAnsi="宋体" w:eastAsia="宋体" w:cs="宋体"/>
                <w:color w:val="000000"/>
                <w:sz w:val="21"/>
                <w:szCs w:val="21"/>
                <w:highlight w:val="none"/>
              </w:rPr>
            </w:r>
            <w:r/>
          </w:p>
        </w:tc>
        <w:tc>
          <w:tcPr>
            <w:tcW w:w="43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标注雨污混接点位置及类型</w:t>
            </w: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混接改造规划</w:t>
            </w:r>
            <w:r>
              <w:rPr>
                <w:rFonts w:hint="eastAsia" w:ascii="宋体" w:hAnsi="宋体" w:eastAsia="宋体" w:cs="宋体"/>
                <w:color w:val="000000"/>
                <w:sz w:val="21"/>
                <w:szCs w:val="21"/>
                <w:highlight w:val="none"/>
              </w:rPr>
            </w:r>
            <w:r/>
          </w:p>
        </w:tc>
      </w:tr>
      <w:tr>
        <w:trPr>
          <w:trHeight w:val="59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211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合流管检查井</w:t>
            </w:r>
            <w:r>
              <w:rPr>
                <w:rFonts w:hint="eastAsia" w:ascii="宋体" w:hAnsi="宋体" w:eastAsia="宋体" w:cs="宋体"/>
                <w:color w:val="000000"/>
                <w:sz w:val="21"/>
                <w:szCs w:val="21"/>
                <w:highlight w:val="none"/>
              </w:rPr>
            </w:r>
            <w:r/>
          </w:p>
        </w:tc>
        <w:tc>
          <w:tcPr>
            <w:tcW w:w="43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显示合流制管网检查井</w:t>
            </w: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合流制区域管理</w:t>
            </w:r>
            <w:r>
              <w:rPr>
                <w:rFonts w:hint="eastAsia" w:ascii="宋体" w:hAnsi="宋体" w:eastAsia="宋体" w:cs="宋体"/>
                <w:color w:val="000000"/>
                <w:sz w:val="21"/>
                <w:szCs w:val="21"/>
                <w:highlight w:val="none"/>
              </w:rPr>
            </w:r>
            <w:r/>
          </w:p>
        </w:tc>
      </w:tr>
      <w:tr>
        <w:trPr>
          <w:trHeight w:val="598"/>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211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过河管线</w:t>
            </w:r>
            <w:r>
              <w:rPr>
                <w:rFonts w:hint="eastAsia" w:ascii="宋体" w:hAnsi="宋体" w:eastAsia="宋体" w:cs="宋体"/>
                <w:color w:val="000000"/>
                <w:sz w:val="21"/>
                <w:szCs w:val="21"/>
                <w:highlight w:val="none"/>
              </w:rPr>
            </w:r>
            <w:r/>
          </w:p>
        </w:tc>
        <w:tc>
          <w:tcPr>
            <w:tcW w:w="43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高亮显示穿越河道的管线</w:t>
            </w: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重点设施监控</w:t>
            </w:r>
            <w:r>
              <w:rPr>
                <w:rFonts w:hint="eastAsia" w:ascii="宋体" w:hAnsi="宋体" w:eastAsia="宋体" w:cs="宋体"/>
                <w:color w:val="000000"/>
                <w:sz w:val="21"/>
                <w:szCs w:val="21"/>
                <w:highlight w:val="none"/>
              </w:rPr>
            </w:r>
            <w:r/>
          </w:p>
        </w:tc>
      </w:tr>
      <w:tr>
        <w:trPr>
          <w:trHeight w:val="717"/>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211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涉水建设项目</w:t>
            </w:r>
            <w:r>
              <w:rPr>
                <w:rFonts w:hint="eastAsia" w:ascii="宋体" w:hAnsi="宋体" w:eastAsia="宋体" w:cs="宋体"/>
                <w:color w:val="000000"/>
                <w:sz w:val="21"/>
                <w:szCs w:val="21"/>
                <w:highlight w:val="none"/>
              </w:rPr>
            </w:r>
            <w:r/>
          </w:p>
        </w:tc>
        <w:tc>
          <w:tcPr>
            <w:tcW w:w="43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标注提标改造、技改、生态化改造、病害维修等在建项目位置及进度</w:t>
            </w: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项目管理</w:t>
            </w:r>
            <w:r>
              <w:rPr>
                <w:rFonts w:hint="eastAsia" w:ascii="宋体" w:hAnsi="宋体" w:eastAsia="宋体" w:cs="宋体"/>
                <w:color w:val="000000"/>
                <w:sz w:val="21"/>
                <w:szCs w:val="21"/>
                <w:highlight w:val="none"/>
              </w:rPr>
            </w:r>
            <w:r/>
          </w:p>
        </w:tc>
      </w:tr>
      <w:tr>
        <w:trPr>
          <w:trHeight w:val="611"/>
        </w:trPr>
        <w:tc>
          <w:tcPr>
            <w:tcW w:w="7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2116"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污水处理厂</w:t>
            </w:r>
            <w:r>
              <w:rPr>
                <w:rFonts w:hint="eastAsia" w:ascii="宋体" w:hAnsi="宋体" w:eastAsia="宋体" w:cs="宋体"/>
                <w:color w:val="000000"/>
                <w:sz w:val="21"/>
                <w:szCs w:val="21"/>
                <w:highlight w:val="none"/>
              </w:rPr>
            </w:r>
            <w:r/>
          </w:p>
        </w:tc>
        <w:tc>
          <w:tcPr>
            <w:tcW w:w="4322"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图层展示</w:t>
            </w: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直观展示</w:t>
            </w:r>
            <w:r>
              <w:rPr>
                <w:rFonts w:hint="eastAsia" w:ascii="宋体" w:hAnsi="宋体" w:eastAsia="宋体" w:cs="宋体"/>
                <w:color w:val="000000"/>
                <w:sz w:val="21"/>
                <w:szCs w:val="21"/>
                <w:highlight w:val="none"/>
              </w:rPr>
            </w:r>
            <w:r/>
          </w:p>
        </w:tc>
      </w:tr>
    </w:tbl>
    <w:p>
      <w:pPr>
        <w:pStyle w:val="973"/>
        <w:numPr>
          <w:ilvl w:val="0"/>
          <w:numId w:val="24"/>
        </w:numPr>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图层交互功能</w:t>
      </w:r>
      <w:r>
        <w:rPr>
          <w:rFonts w:hint="eastAsia" w:ascii="宋体" w:hAnsi="宋体" w:eastAsia="宋体" w:cs="宋体"/>
          <w:sz w:val="21"/>
          <w:szCs w:val="21"/>
          <w:highlight w:val="none"/>
        </w:rPr>
      </w:r>
      <w:r/>
    </w:p>
    <w:p>
      <w:pPr>
        <w:pStyle w:val="973"/>
        <w:numPr>
          <w:ilvl w:val="0"/>
          <w:numId w:val="25"/>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图层控制：用户可自由开关图层，调整透明度，设置可见范围。</w:t>
      </w:r>
      <w:r>
        <w:rPr>
          <w:rFonts w:hint="eastAsia" w:ascii="宋体" w:hAnsi="宋体" w:eastAsia="宋体" w:cs="宋体"/>
          <w:sz w:val="21"/>
          <w:szCs w:val="21"/>
          <w:highlight w:val="none"/>
          <w:lang w:val="en-US" w:eastAsia="zh-CN" w:bidi="ar-SA"/>
        </w:rPr>
      </w:r>
      <w:r/>
    </w:p>
    <w:p>
      <w:pPr>
        <w:pStyle w:val="973"/>
        <w:numPr>
          <w:ilvl w:val="0"/>
          <w:numId w:val="25"/>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空间查询：支持矩形、多边形、缓冲区选择设施，批量导出属性。</w:t>
      </w:r>
      <w:r>
        <w:rPr>
          <w:rFonts w:hint="eastAsia" w:ascii="宋体" w:hAnsi="宋体" w:eastAsia="宋体" w:cs="宋体"/>
          <w:sz w:val="21"/>
          <w:szCs w:val="21"/>
          <w:highlight w:val="none"/>
          <w:lang w:val="en-US" w:eastAsia="zh-CN" w:bidi="ar-SA"/>
        </w:rPr>
      </w:r>
      <w:r/>
    </w:p>
    <w:p>
      <w:pPr>
        <w:pStyle w:val="973"/>
        <w:numPr>
          <w:ilvl w:val="0"/>
          <w:numId w:val="25"/>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属性查询：支持按设施编号、名称、地址等关键字模糊搜索，定位至目标。</w:t>
      </w:r>
      <w:r>
        <w:rPr>
          <w:rFonts w:hint="eastAsia" w:ascii="宋体" w:hAnsi="宋体" w:eastAsia="宋体" w:cs="宋体"/>
          <w:sz w:val="21"/>
          <w:szCs w:val="21"/>
          <w:highlight w:val="none"/>
          <w:lang w:val="en-US" w:eastAsia="zh-CN" w:bidi="ar-SA"/>
        </w:rPr>
      </w:r>
      <w:r/>
    </w:p>
    <w:p>
      <w:pPr>
        <w:pStyle w:val="973"/>
        <w:numPr>
          <w:ilvl w:val="0"/>
          <w:numId w:val="25"/>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流向动画：选择某段管网，可动画演示水流方向（从上游至下游）。</w:t>
      </w:r>
      <w:r>
        <w:rPr>
          <w:rFonts w:hint="eastAsia" w:ascii="宋体" w:hAnsi="宋体" w:eastAsia="宋体" w:cs="宋体"/>
          <w:sz w:val="21"/>
          <w:szCs w:val="21"/>
          <w:highlight w:val="none"/>
          <w:lang w:val="en-US" w:eastAsia="zh-CN" w:bidi="ar-SA"/>
        </w:rPr>
      </w:r>
      <w:r/>
    </w:p>
    <w:p>
      <w:pPr>
        <w:pStyle w:val="973"/>
        <w:numPr>
          <w:ilvl w:val="0"/>
          <w:numId w:val="25"/>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关联查看：点击设施，弹出卡片显示基本信息，并提供“监测数据”“巡检记录”“工单历史”等选项卡。</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平台自动生成各类数据报告，支持在线预览、导出PDF/Excel。报告类型及内容如下：</w:t>
      </w:r>
      <w:r>
        <w:rPr>
          <w:rFonts w:hint="eastAsia" w:ascii="宋体" w:hAnsi="宋体" w:eastAsia="宋体" w:cs="宋体"/>
          <w:sz w:val="21"/>
          <w:szCs w:val="21"/>
          <w:highlight w:val="none"/>
        </w:rPr>
      </w:r>
      <w:r/>
    </w:p>
    <w:tbl>
      <w:tblPr>
        <w:tblW w:w="8958" w:type="dxa"/>
        <w:jc w:val="center"/>
        <w:tblInd w:w="-44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433"/>
        <w:gridCol w:w="4723"/>
        <w:gridCol w:w="1241"/>
        <w:gridCol w:w="1561"/>
      </w:tblGrid>
      <w:tr>
        <w:trPr>
          <w:trHeight w:val="483"/>
        </w:trPr>
        <w:tc>
          <w:tcPr>
            <w:tcW w:w="143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报告名称</w:t>
            </w:r>
            <w:r>
              <w:rPr>
                <w:rFonts w:hint="eastAsia" w:ascii="宋体" w:hAnsi="宋体" w:eastAsia="宋体" w:cs="宋体"/>
                <w:b/>
                <w:bCs/>
                <w:color w:val="000000"/>
                <w:sz w:val="21"/>
                <w:szCs w:val="21"/>
                <w:highlight w:val="none"/>
              </w:rPr>
            </w:r>
            <w:r/>
          </w:p>
        </w:tc>
        <w:tc>
          <w:tcPr>
            <w:tcW w:w="472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报告内容</w:t>
            </w:r>
            <w:r>
              <w:rPr>
                <w:rFonts w:hint="eastAsia" w:ascii="宋体" w:hAnsi="宋体" w:eastAsia="宋体" w:cs="宋体"/>
                <w:b/>
                <w:bCs/>
                <w:color w:val="000000"/>
                <w:sz w:val="21"/>
                <w:szCs w:val="21"/>
                <w:highlight w:val="none"/>
              </w:rPr>
            </w:r>
            <w:r/>
          </w:p>
        </w:tc>
        <w:tc>
          <w:tcPr>
            <w:tcW w:w="12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生成频率</w:t>
            </w:r>
            <w:r>
              <w:rPr>
                <w:rFonts w:hint="eastAsia" w:ascii="宋体" w:hAnsi="宋体" w:eastAsia="宋体" w:cs="宋体"/>
                <w:b/>
                <w:bCs/>
                <w:color w:val="000000"/>
                <w:sz w:val="21"/>
                <w:szCs w:val="21"/>
                <w:highlight w:val="none"/>
              </w:rPr>
            </w:r>
            <w:r/>
          </w:p>
        </w:tc>
        <w:tc>
          <w:tcPr>
            <w:tcW w:w="15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关联模块</w:t>
            </w:r>
            <w:r>
              <w:rPr>
                <w:rFonts w:hint="eastAsia" w:ascii="宋体" w:hAnsi="宋体" w:eastAsia="宋体" w:cs="宋体"/>
                <w:b/>
                <w:bCs/>
                <w:color w:val="000000"/>
                <w:sz w:val="21"/>
                <w:szCs w:val="21"/>
                <w:highlight w:val="none"/>
              </w:rPr>
            </w:r>
            <w:r/>
          </w:p>
        </w:tc>
      </w:tr>
      <w:tr>
        <w:trPr>
          <w:trHeight w:val="709"/>
        </w:trPr>
        <w:tc>
          <w:tcPr>
            <w:tcW w:w="143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水质报告</w:t>
            </w:r>
            <w:r>
              <w:rPr>
                <w:rFonts w:hint="eastAsia" w:ascii="宋体" w:hAnsi="宋体" w:eastAsia="宋体" w:cs="宋体"/>
                <w:color w:val="000000"/>
                <w:sz w:val="21"/>
                <w:szCs w:val="21"/>
                <w:highlight w:val="none"/>
              </w:rPr>
            </w:r>
            <w:r/>
          </w:p>
        </w:tc>
        <w:tc>
          <w:tcPr>
            <w:tcW w:w="472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各水质监测点位的COD、氨氮、总磷等指标监测值，超标标注，趋势图</w:t>
            </w:r>
            <w:r>
              <w:rPr>
                <w:rFonts w:hint="eastAsia" w:ascii="宋体" w:hAnsi="宋体" w:eastAsia="宋体" w:cs="宋体"/>
                <w:color w:val="000000"/>
                <w:sz w:val="21"/>
                <w:szCs w:val="21"/>
                <w:highlight w:val="none"/>
              </w:rPr>
            </w:r>
            <w:r/>
          </w:p>
        </w:tc>
        <w:tc>
          <w:tcPr>
            <w:tcW w:w="12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每日/每周</w:t>
            </w:r>
            <w:r>
              <w:rPr>
                <w:rFonts w:hint="eastAsia" w:ascii="宋体" w:hAnsi="宋体" w:eastAsia="宋体" w:cs="宋体"/>
                <w:color w:val="000000"/>
                <w:sz w:val="21"/>
                <w:szCs w:val="21"/>
                <w:highlight w:val="none"/>
              </w:rPr>
            </w:r>
            <w:r/>
          </w:p>
        </w:tc>
        <w:tc>
          <w:tcPr>
            <w:tcW w:w="15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监测数据</w:t>
            </w:r>
            <w:r>
              <w:rPr>
                <w:rFonts w:hint="eastAsia" w:ascii="宋体" w:hAnsi="宋体" w:eastAsia="宋体" w:cs="宋体"/>
                <w:color w:val="000000"/>
                <w:sz w:val="21"/>
                <w:szCs w:val="21"/>
                <w:highlight w:val="none"/>
              </w:rPr>
            </w:r>
            <w:r/>
          </w:p>
        </w:tc>
      </w:tr>
      <w:tr>
        <w:trPr>
          <w:trHeight w:val="618"/>
        </w:trPr>
        <w:tc>
          <w:tcPr>
            <w:tcW w:w="143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液位报告</w:t>
            </w:r>
            <w:r>
              <w:rPr>
                <w:rFonts w:hint="eastAsia" w:ascii="宋体" w:hAnsi="宋体" w:eastAsia="宋体" w:cs="宋体"/>
                <w:color w:val="000000"/>
                <w:sz w:val="21"/>
                <w:szCs w:val="21"/>
                <w:highlight w:val="none"/>
              </w:rPr>
            </w:r>
            <w:r/>
          </w:p>
        </w:tc>
        <w:tc>
          <w:tcPr>
            <w:tcW w:w="472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各液位监测点位的实时液位、历史最高/最低，预警统计</w:t>
            </w:r>
            <w:r>
              <w:rPr>
                <w:rFonts w:hint="eastAsia" w:ascii="宋体" w:hAnsi="宋体" w:eastAsia="宋体" w:cs="宋体"/>
                <w:color w:val="000000"/>
                <w:sz w:val="21"/>
                <w:szCs w:val="21"/>
                <w:highlight w:val="none"/>
              </w:rPr>
            </w:r>
            <w:r/>
          </w:p>
        </w:tc>
        <w:tc>
          <w:tcPr>
            <w:tcW w:w="12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每日</w:t>
            </w:r>
            <w:r>
              <w:rPr>
                <w:rFonts w:hint="eastAsia" w:ascii="宋体" w:hAnsi="宋体" w:eastAsia="宋体" w:cs="宋体"/>
                <w:color w:val="000000"/>
                <w:sz w:val="21"/>
                <w:szCs w:val="21"/>
                <w:highlight w:val="none"/>
              </w:rPr>
            </w:r>
            <w:r/>
          </w:p>
        </w:tc>
        <w:tc>
          <w:tcPr>
            <w:tcW w:w="15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监测数据</w:t>
            </w:r>
            <w:r>
              <w:rPr>
                <w:rFonts w:hint="eastAsia" w:ascii="宋体" w:hAnsi="宋体" w:eastAsia="宋体" w:cs="宋体"/>
                <w:color w:val="000000"/>
                <w:sz w:val="21"/>
                <w:szCs w:val="21"/>
                <w:highlight w:val="none"/>
              </w:rPr>
            </w:r>
            <w:r/>
          </w:p>
        </w:tc>
      </w:tr>
      <w:tr>
        <w:trPr>
          <w:trHeight w:val="489"/>
        </w:trPr>
        <w:tc>
          <w:tcPr>
            <w:tcW w:w="143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检测报告</w:t>
            </w:r>
            <w:r>
              <w:rPr>
                <w:rFonts w:hint="eastAsia" w:ascii="宋体" w:hAnsi="宋体" w:eastAsia="宋体" w:cs="宋体"/>
                <w:color w:val="000000"/>
                <w:sz w:val="21"/>
                <w:szCs w:val="21"/>
                <w:highlight w:val="none"/>
              </w:rPr>
            </w:r>
            <w:r/>
          </w:p>
        </w:tc>
        <w:tc>
          <w:tcPr>
            <w:tcW w:w="472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CCTV检测结果汇总，包括缺陷类型、等级、位置</w:t>
            </w:r>
            <w:r>
              <w:rPr>
                <w:rFonts w:hint="eastAsia" w:ascii="宋体" w:hAnsi="宋体" w:eastAsia="宋体" w:cs="宋体"/>
                <w:color w:val="000000"/>
                <w:sz w:val="21"/>
                <w:szCs w:val="21"/>
                <w:highlight w:val="none"/>
              </w:rPr>
            </w:r>
            <w:r/>
          </w:p>
        </w:tc>
        <w:tc>
          <w:tcPr>
            <w:tcW w:w="12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按需</w:t>
            </w:r>
            <w:r>
              <w:rPr>
                <w:rFonts w:hint="eastAsia" w:ascii="宋体" w:hAnsi="宋体" w:eastAsia="宋体" w:cs="宋体"/>
                <w:color w:val="000000"/>
                <w:sz w:val="21"/>
                <w:szCs w:val="21"/>
                <w:highlight w:val="none"/>
              </w:rPr>
            </w:r>
            <w:r/>
          </w:p>
        </w:tc>
        <w:tc>
          <w:tcPr>
            <w:tcW w:w="15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检测数据</w:t>
            </w:r>
            <w:r>
              <w:rPr>
                <w:rFonts w:hint="eastAsia" w:ascii="宋体" w:hAnsi="宋体" w:eastAsia="宋体" w:cs="宋体"/>
                <w:color w:val="000000"/>
                <w:sz w:val="21"/>
                <w:szCs w:val="21"/>
                <w:highlight w:val="none"/>
              </w:rPr>
            </w:r>
            <w:r/>
          </w:p>
        </w:tc>
      </w:tr>
      <w:tr>
        <w:trPr>
          <w:trHeight w:val="489"/>
        </w:trPr>
        <w:tc>
          <w:tcPr>
            <w:tcW w:w="143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流量报告</w:t>
            </w:r>
            <w:r>
              <w:rPr>
                <w:rFonts w:hint="eastAsia" w:ascii="宋体" w:hAnsi="宋体" w:eastAsia="宋体" w:cs="宋体"/>
                <w:color w:val="000000"/>
                <w:sz w:val="21"/>
                <w:szCs w:val="21"/>
                <w:highlight w:val="none"/>
              </w:rPr>
            </w:r>
            <w:r/>
          </w:p>
        </w:tc>
        <w:tc>
          <w:tcPr>
            <w:tcW w:w="472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泵站、管网关键节点的流量统计，日/月累计</w:t>
            </w:r>
            <w:r>
              <w:rPr>
                <w:rFonts w:hint="eastAsia" w:ascii="宋体" w:hAnsi="宋体" w:eastAsia="宋体" w:cs="宋体"/>
                <w:color w:val="000000"/>
                <w:sz w:val="21"/>
                <w:szCs w:val="21"/>
                <w:highlight w:val="none"/>
              </w:rPr>
            </w:r>
            <w:r/>
          </w:p>
        </w:tc>
        <w:tc>
          <w:tcPr>
            <w:tcW w:w="12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每日</w:t>
            </w:r>
            <w:r>
              <w:rPr>
                <w:rFonts w:hint="eastAsia" w:ascii="宋体" w:hAnsi="宋体" w:eastAsia="宋体" w:cs="宋体"/>
                <w:color w:val="000000"/>
                <w:sz w:val="21"/>
                <w:szCs w:val="21"/>
                <w:highlight w:val="none"/>
              </w:rPr>
            </w:r>
            <w:r/>
          </w:p>
        </w:tc>
        <w:tc>
          <w:tcPr>
            <w:tcW w:w="15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监测数据</w:t>
            </w:r>
            <w:r>
              <w:rPr>
                <w:rFonts w:hint="eastAsia" w:ascii="宋体" w:hAnsi="宋体" w:eastAsia="宋体" w:cs="宋体"/>
                <w:color w:val="000000"/>
                <w:sz w:val="21"/>
                <w:szCs w:val="21"/>
                <w:highlight w:val="none"/>
              </w:rPr>
            </w:r>
            <w:r/>
          </w:p>
        </w:tc>
      </w:tr>
      <w:tr>
        <w:trPr>
          <w:trHeight w:val="489"/>
        </w:trPr>
        <w:tc>
          <w:tcPr>
            <w:tcW w:w="143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溯源报告</w:t>
            </w:r>
            <w:r>
              <w:rPr>
                <w:rFonts w:hint="eastAsia" w:ascii="宋体" w:hAnsi="宋体" w:eastAsia="宋体" w:cs="宋体"/>
                <w:color w:val="000000"/>
                <w:sz w:val="21"/>
                <w:szCs w:val="21"/>
                <w:highlight w:val="none"/>
              </w:rPr>
            </w:r>
            <w:r/>
          </w:p>
        </w:tc>
        <w:tc>
          <w:tcPr>
            <w:tcW w:w="472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当发生水质异常时，自动追溯上游嫌疑排水户</w:t>
            </w:r>
            <w:r>
              <w:rPr>
                <w:rFonts w:hint="eastAsia" w:ascii="宋体" w:hAnsi="宋体" w:eastAsia="宋体" w:cs="宋体"/>
                <w:color w:val="000000"/>
                <w:sz w:val="21"/>
                <w:szCs w:val="21"/>
                <w:highlight w:val="none"/>
              </w:rPr>
            </w:r>
            <w:r/>
          </w:p>
        </w:tc>
        <w:tc>
          <w:tcPr>
            <w:tcW w:w="12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事件触发</w:t>
            </w:r>
            <w:r>
              <w:rPr>
                <w:rFonts w:hint="eastAsia" w:ascii="宋体" w:hAnsi="宋体" w:eastAsia="宋体" w:cs="宋体"/>
                <w:color w:val="000000"/>
                <w:sz w:val="21"/>
                <w:szCs w:val="21"/>
                <w:highlight w:val="none"/>
              </w:rPr>
            </w:r>
            <w:r/>
          </w:p>
        </w:tc>
        <w:tc>
          <w:tcPr>
            <w:tcW w:w="15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算法模型</w:t>
            </w:r>
            <w:r>
              <w:rPr>
                <w:rFonts w:hint="eastAsia" w:ascii="宋体" w:hAnsi="宋体" w:eastAsia="宋体" w:cs="宋体"/>
                <w:color w:val="000000"/>
                <w:sz w:val="21"/>
                <w:szCs w:val="21"/>
                <w:highlight w:val="none"/>
              </w:rPr>
            </w:r>
            <w:r/>
          </w:p>
        </w:tc>
      </w:tr>
      <w:tr>
        <w:trPr>
          <w:trHeight w:val="489"/>
        </w:trPr>
        <w:tc>
          <w:tcPr>
            <w:tcW w:w="143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巡查报告</w:t>
            </w:r>
            <w:r>
              <w:rPr>
                <w:rFonts w:hint="eastAsia" w:ascii="宋体" w:hAnsi="宋体" w:eastAsia="宋体" w:cs="宋体"/>
                <w:color w:val="000000"/>
                <w:sz w:val="21"/>
                <w:szCs w:val="21"/>
                <w:highlight w:val="none"/>
              </w:rPr>
            </w:r>
            <w:r/>
          </w:p>
        </w:tc>
        <w:tc>
          <w:tcPr>
            <w:tcW w:w="472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巡检任务完成情况、发现问题统计、处置率</w:t>
            </w:r>
            <w:r>
              <w:rPr>
                <w:rFonts w:hint="eastAsia" w:ascii="宋体" w:hAnsi="宋体" w:eastAsia="宋体" w:cs="宋体"/>
                <w:color w:val="000000"/>
                <w:sz w:val="21"/>
                <w:szCs w:val="21"/>
                <w:highlight w:val="none"/>
              </w:rPr>
            </w:r>
            <w:r/>
          </w:p>
        </w:tc>
        <w:tc>
          <w:tcPr>
            <w:tcW w:w="12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每周/每月</w:t>
            </w:r>
            <w:r>
              <w:rPr>
                <w:rFonts w:hint="eastAsia" w:ascii="宋体" w:hAnsi="宋体" w:eastAsia="宋体" w:cs="宋体"/>
                <w:color w:val="000000"/>
                <w:sz w:val="21"/>
                <w:szCs w:val="21"/>
                <w:highlight w:val="none"/>
              </w:rPr>
            </w:r>
            <w:r/>
          </w:p>
        </w:tc>
        <w:tc>
          <w:tcPr>
            <w:tcW w:w="15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巡检数据</w:t>
            </w:r>
            <w:r>
              <w:rPr>
                <w:rFonts w:hint="eastAsia" w:ascii="宋体" w:hAnsi="宋体" w:eastAsia="宋体" w:cs="宋体"/>
                <w:color w:val="000000"/>
                <w:sz w:val="21"/>
                <w:szCs w:val="21"/>
                <w:highlight w:val="none"/>
              </w:rPr>
            </w:r>
            <w:r/>
          </w:p>
        </w:tc>
      </w:tr>
      <w:tr>
        <w:trPr>
          <w:trHeight w:val="508"/>
        </w:trPr>
        <w:tc>
          <w:tcPr>
            <w:tcW w:w="143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综合预警</w:t>
            </w:r>
            <w:r>
              <w:rPr>
                <w:rFonts w:hint="eastAsia" w:ascii="宋体" w:hAnsi="宋体" w:eastAsia="宋体" w:cs="宋体"/>
                <w:color w:val="000000"/>
                <w:sz w:val="21"/>
                <w:szCs w:val="21"/>
                <w:highlight w:val="none"/>
              </w:rPr>
            </w:r>
            <w:r/>
          </w:p>
        </w:tc>
        <w:tc>
          <w:tcPr>
            <w:tcW w:w="4723"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内涝、淤积、偷排等预警事件统计及详情</w:t>
            </w:r>
            <w:r>
              <w:rPr>
                <w:rFonts w:hint="eastAsia" w:ascii="宋体" w:hAnsi="宋体" w:eastAsia="宋体" w:cs="宋体"/>
                <w:color w:val="000000"/>
                <w:sz w:val="21"/>
                <w:szCs w:val="21"/>
                <w:highlight w:val="none"/>
              </w:rPr>
            </w:r>
            <w:r/>
          </w:p>
        </w:tc>
        <w:tc>
          <w:tcPr>
            <w:tcW w:w="124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实时/每日</w:t>
            </w:r>
            <w:r>
              <w:rPr>
                <w:rFonts w:hint="eastAsia" w:ascii="宋体" w:hAnsi="宋体" w:eastAsia="宋体" w:cs="宋体"/>
                <w:color w:val="000000"/>
                <w:sz w:val="21"/>
                <w:szCs w:val="21"/>
                <w:highlight w:val="none"/>
              </w:rPr>
            </w:r>
            <w:r/>
          </w:p>
        </w:tc>
        <w:tc>
          <w:tcPr>
            <w:tcW w:w="15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预警模块</w:t>
            </w:r>
            <w:r>
              <w:rPr>
                <w:rFonts w:hint="eastAsia" w:ascii="宋体" w:hAnsi="宋体" w:eastAsia="宋体" w:cs="宋体"/>
                <w:color w:val="000000"/>
                <w:sz w:val="21"/>
                <w:szCs w:val="21"/>
                <w:highlight w:val="none"/>
              </w:rPr>
            </w:r>
            <w:r/>
          </w:p>
        </w:tc>
      </w:tr>
    </w:tbl>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提供全域分析功能，包括高程分析、高水位分析、封闭性分析、畅通性分析等。</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为满足领导决策和指挥调度需求，平台提供多个专题大屏，以可视化图表、地图、指标卡片等形式展示核心数据。</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排水户分析大屏</w:t>
      </w:r>
      <w:r>
        <w:rPr>
          <w:rFonts w:hint="eastAsia" w:ascii="宋体" w:hAnsi="宋体" w:eastAsia="宋体" w:cs="宋体"/>
          <w:sz w:val="21"/>
          <w:szCs w:val="21"/>
          <w:highlight w:val="none"/>
        </w:rPr>
      </w:r>
      <w:r/>
    </w:p>
    <w:p>
      <w:pPr>
        <w:pStyle w:val="973"/>
        <w:numPr>
          <w:ilvl w:val="0"/>
          <w:numId w:val="26"/>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指标卡片：排水户总数、已许可户数、重点监管户数、异常户数。</w:t>
      </w:r>
      <w:r>
        <w:rPr>
          <w:rFonts w:hint="eastAsia" w:ascii="宋体" w:hAnsi="宋体" w:eastAsia="宋体" w:cs="宋体"/>
          <w:sz w:val="21"/>
          <w:szCs w:val="21"/>
          <w:highlight w:val="none"/>
          <w:lang w:val="en-US" w:eastAsia="zh-CN" w:bidi="ar-SA"/>
        </w:rPr>
      </w:r>
      <w:r/>
    </w:p>
    <w:p>
      <w:pPr>
        <w:pStyle w:val="973"/>
        <w:numPr>
          <w:ilvl w:val="0"/>
          <w:numId w:val="26"/>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地图分布：用不同颜色标注排水户，区分正常/异常/整改中。</w:t>
      </w:r>
      <w:r>
        <w:rPr>
          <w:rFonts w:hint="eastAsia" w:ascii="宋体" w:hAnsi="宋体" w:eastAsia="宋体" w:cs="宋体"/>
          <w:sz w:val="21"/>
          <w:szCs w:val="21"/>
          <w:highlight w:val="none"/>
          <w:lang w:val="en-US" w:eastAsia="zh-CN" w:bidi="ar-SA"/>
        </w:rPr>
      </w:r>
      <w:r/>
    </w:p>
    <w:p>
      <w:pPr>
        <w:pStyle w:val="973"/>
        <w:numPr>
          <w:ilvl w:val="0"/>
          <w:numId w:val="26"/>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排行：排水量前十排水户、投诉最多排水户。</w:t>
      </w:r>
      <w:r>
        <w:rPr>
          <w:rFonts w:hint="eastAsia" w:ascii="宋体" w:hAnsi="宋体" w:eastAsia="宋体" w:cs="宋体"/>
          <w:sz w:val="21"/>
          <w:szCs w:val="21"/>
          <w:highlight w:val="none"/>
          <w:lang w:val="en-US" w:eastAsia="zh-CN" w:bidi="ar-SA"/>
        </w:rPr>
      </w:r>
      <w:r/>
    </w:p>
    <w:p>
      <w:pPr>
        <w:pStyle w:val="973"/>
        <w:numPr>
          <w:ilvl w:val="0"/>
          <w:numId w:val="26"/>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趋势：近一月排水户水质达标率变化。</w:t>
      </w:r>
      <w:r>
        <w:rPr>
          <w:rFonts w:hint="eastAsia" w:ascii="宋体" w:hAnsi="宋体" w:eastAsia="宋体" w:cs="宋体"/>
          <w:sz w:val="21"/>
          <w:szCs w:val="21"/>
          <w:highlight w:val="none"/>
          <w:lang w:val="en-US" w:eastAsia="zh-CN" w:bidi="ar-SA"/>
        </w:rPr>
      </w:r>
      <w:r/>
    </w:p>
    <w:p>
      <w:pPr>
        <w:pStyle w:val="973"/>
        <w:numPr>
          <w:ilvl w:val="0"/>
          <w:numId w:val="26"/>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详情列表：点击可下钻查看单个排水户的档案、监测数据、巡检记录。</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入河排口分析大屏</w:t>
      </w:r>
      <w:r>
        <w:rPr>
          <w:rFonts w:hint="eastAsia" w:ascii="宋体" w:hAnsi="宋体" w:eastAsia="宋体" w:cs="宋体"/>
          <w:sz w:val="21"/>
          <w:szCs w:val="21"/>
          <w:highlight w:val="none"/>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指标卡片：排口总数、问题排口数、已整改数、水质达标率。</w:t>
      </w:r>
      <w:r>
        <w:rPr>
          <w:rFonts w:hint="eastAsia" w:ascii="宋体" w:hAnsi="宋体" w:eastAsia="宋体" w:cs="宋体"/>
          <w:sz w:val="21"/>
          <w:szCs w:val="21"/>
          <w:highlight w:val="none"/>
          <w:lang w:val="en-US" w:eastAsia="zh-CN" w:bidi="ar-SA"/>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地图分布：区分正常排口、问题大排口，问题排口闪烁。</w:t>
      </w:r>
      <w:r>
        <w:rPr>
          <w:rFonts w:hint="eastAsia" w:ascii="宋体" w:hAnsi="宋体" w:eastAsia="宋体" w:cs="宋体"/>
          <w:sz w:val="21"/>
          <w:szCs w:val="21"/>
          <w:highlight w:val="none"/>
          <w:lang w:val="en-US" w:eastAsia="zh-CN" w:bidi="ar-SA"/>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水质分析：各排口主要污染物浓度对比，超标排名。</w:t>
      </w:r>
      <w:r>
        <w:rPr>
          <w:rFonts w:hint="eastAsia" w:ascii="宋体" w:hAnsi="宋体" w:eastAsia="宋体" w:cs="宋体"/>
          <w:sz w:val="21"/>
          <w:szCs w:val="21"/>
          <w:highlight w:val="none"/>
          <w:lang w:val="en-US" w:eastAsia="zh-CN" w:bidi="ar-SA"/>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汇水区分析：选择排口，高亮其汇水范围，并统计范围内排水户、管网长度。</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管网高程分析大屏</w:t>
      </w:r>
      <w:r>
        <w:rPr>
          <w:rFonts w:hint="eastAsia" w:ascii="宋体" w:hAnsi="宋体" w:eastAsia="宋体" w:cs="宋体"/>
          <w:sz w:val="21"/>
          <w:szCs w:val="21"/>
          <w:highlight w:val="none"/>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纵断面图：选择某条管线，生成沿管线的地面高程、管底高程纵断面图，直观显示倒坡、覆土不足等问题。</w:t>
      </w:r>
      <w:r>
        <w:rPr>
          <w:rFonts w:hint="eastAsia" w:ascii="宋体" w:hAnsi="宋体" w:eastAsia="宋体" w:cs="宋体"/>
          <w:sz w:val="21"/>
          <w:szCs w:val="21"/>
          <w:highlight w:val="none"/>
          <w:lang w:val="en-US" w:eastAsia="zh-CN" w:bidi="ar-SA"/>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问题统计：统计全市倒坡管段数量、长度，按严重程度分类。</w:t>
      </w:r>
      <w:r>
        <w:rPr>
          <w:rFonts w:hint="eastAsia" w:ascii="宋体" w:hAnsi="宋体" w:eastAsia="宋体" w:cs="宋体"/>
          <w:sz w:val="21"/>
          <w:szCs w:val="21"/>
          <w:highlight w:val="none"/>
          <w:lang w:val="en-US" w:eastAsia="zh-CN" w:bidi="ar-SA"/>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改造建议：基于高程分析，自动生成需优先改造的管段列表。</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示意如下图：</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泵站分析大屏</w:t>
      </w:r>
      <w:r>
        <w:rPr>
          <w:rFonts w:hint="eastAsia" w:ascii="宋体" w:hAnsi="宋体" w:eastAsia="宋体" w:cs="宋体"/>
          <w:sz w:val="21"/>
          <w:szCs w:val="21"/>
          <w:highlight w:val="none"/>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指标卡片：泵站总数、在线数、故障数、当前总流量。</w:t>
      </w:r>
      <w:r>
        <w:rPr>
          <w:rFonts w:hint="eastAsia" w:ascii="宋体" w:hAnsi="宋体" w:eastAsia="宋体" w:cs="宋体"/>
          <w:sz w:val="21"/>
          <w:szCs w:val="21"/>
          <w:highlight w:val="none"/>
          <w:lang w:val="en-US" w:eastAsia="zh-CN" w:bidi="ar-SA"/>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地图分布：泵站图标用不同颜色表示运行状态（正常/预警/停机）。</w:t>
      </w:r>
      <w:r>
        <w:rPr>
          <w:rFonts w:hint="eastAsia" w:ascii="宋体" w:hAnsi="宋体" w:eastAsia="宋体" w:cs="宋体"/>
          <w:sz w:val="21"/>
          <w:szCs w:val="21"/>
          <w:highlight w:val="none"/>
          <w:lang w:val="en-US" w:eastAsia="zh-CN" w:bidi="ar-SA"/>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实时监测：滚动显示各泵站流量、液位、启停状态。</w:t>
      </w:r>
      <w:r>
        <w:rPr>
          <w:rFonts w:hint="eastAsia" w:ascii="宋体" w:hAnsi="宋体" w:eastAsia="宋体" w:cs="宋体"/>
          <w:sz w:val="21"/>
          <w:szCs w:val="21"/>
          <w:highlight w:val="none"/>
          <w:lang w:val="en-US" w:eastAsia="zh-CN" w:bidi="ar-SA"/>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能耗分析：各泵站电耗排名，单位流量电耗对比。</w:t>
      </w:r>
      <w:r>
        <w:rPr>
          <w:rFonts w:hint="eastAsia" w:ascii="宋体" w:hAnsi="宋体" w:eastAsia="宋体" w:cs="宋体"/>
          <w:sz w:val="21"/>
          <w:szCs w:val="21"/>
          <w:highlight w:val="none"/>
          <w:lang w:val="en-US" w:eastAsia="zh-CN" w:bidi="ar-SA"/>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报警统计：近24小时泵站报警类型及次数。</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污水厂分析大屏</w:t>
      </w:r>
      <w:r>
        <w:rPr>
          <w:rFonts w:hint="eastAsia" w:ascii="宋体" w:hAnsi="宋体" w:eastAsia="宋体" w:cs="宋体"/>
          <w:sz w:val="21"/>
          <w:szCs w:val="21"/>
          <w:highlight w:val="none"/>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指标卡片：处理厂总数、处理能力、实际处理量、负荷率、达标率。</w:t>
      </w:r>
      <w:r>
        <w:rPr>
          <w:rFonts w:hint="eastAsia" w:ascii="宋体" w:hAnsi="宋体" w:eastAsia="宋体" w:cs="宋体"/>
          <w:sz w:val="21"/>
          <w:szCs w:val="21"/>
          <w:highlight w:val="none"/>
          <w:lang w:val="en-US" w:eastAsia="zh-CN" w:bidi="ar-SA"/>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进出水水质：各厂进水COD、氨氮、总磷浓度与出水浓度对比，超标提醒。</w:t>
      </w:r>
      <w:r>
        <w:rPr>
          <w:rFonts w:hint="eastAsia" w:ascii="宋体" w:hAnsi="宋体" w:eastAsia="宋体" w:cs="宋体"/>
          <w:sz w:val="21"/>
          <w:szCs w:val="21"/>
          <w:highlight w:val="none"/>
          <w:lang w:val="en-US" w:eastAsia="zh-CN" w:bidi="ar-SA"/>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工艺参数：关键工艺单元（生化池、二沉池）运行参数。</w:t>
      </w:r>
      <w:r>
        <w:rPr>
          <w:rFonts w:hint="eastAsia" w:ascii="宋体" w:hAnsi="宋体" w:eastAsia="宋体" w:cs="宋体"/>
          <w:sz w:val="21"/>
          <w:szCs w:val="21"/>
          <w:highlight w:val="none"/>
          <w:lang w:val="en-US" w:eastAsia="zh-CN" w:bidi="ar-SA"/>
        </w:rPr>
      </w:r>
      <w:r/>
    </w:p>
    <w:p>
      <w:pPr>
        <w:pStyle w:val="973"/>
        <w:numPr>
          <w:ilvl w:val="0"/>
          <w:numId w:val="27"/>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成本分析：吨水电耗、药耗、泥耗趋势。</w:t>
      </w:r>
      <w:r>
        <w:rPr>
          <w:rFonts w:hint="eastAsia" w:ascii="宋体" w:hAnsi="宋体" w:eastAsia="宋体" w:cs="宋体"/>
          <w:sz w:val="21"/>
          <w:szCs w:val="21"/>
          <w:highlight w:val="none"/>
          <w:lang w:val="en-US" w:eastAsia="zh-CN" w:bidi="ar-SA"/>
        </w:rPr>
      </w:r>
      <w:r/>
    </w:p>
    <w:p>
      <w:pPr>
        <w:pStyle w:val="973"/>
        <w:ind w:left="0" w:firstLine="420"/>
        <w:jc w:val="both"/>
        <w:keepLines/>
        <w:keepNext/>
        <w:pageBreakBefore w:val="0"/>
        <w:spacing w:before="0" w:after="65" w:line="440" w:lineRule="exact"/>
        <w:widowControl/>
        <w:rPr>
          <w:rFonts w:hint="eastAsia" w:ascii="宋体" w:hAnsi="宋体" w:eastAsia="宋体" w:cs="宋体"/>
          <w:sz w:val="21"/>
          <w:szCs w:val="21"/>
          <w:highlight w:val="none"/>
        </w:rPr>
        <w:outlineLvl w:val="3"/>
      </w:pPr>
      <w:r>
        <w:rPr>
          <w:rFonts w:hint="eastAsia" w:ascii="宋体" w:hAnsi="宋体" w:eastAsia="宋体" w:cs="宋体"/>
          <w:b w:val="0"/>
          <w:bCs/>
          <w:sz w:val="21"/>
          <w:szCs w:val="21"/>
          <w:highlight w:val="none"/>
          <w:lang w:val="en-US" w:eastAsia="zh-CN" w:bidi="ar-SA"/>
        </w:rPr>
        <w:t xml:space="preserve"> 技术实现</w:t>
      </w:r>
      <w:r>
        <w:rPr>
          <w:rFonts w:hint="eastAsia" w:ascii="宋体" w:hAnsi="宋体" w:eastAsia="宋体" w:cs="宋体"/>
          <w:sz w:val="21"/>
          <w:szCs w:val="21"/>
          <w:highlight w:val="none"/>
        </w:rPr>
      </w:r>
      <w:r/>
    </w:p>
    <w:tbl>
      <w:tblPr>
        <w:tblW w:w="4929" w:type="pct"/>
        <w:jc w:val="center"/>
        <w:tblInd w:w="-1530" w:type="dxa"/>
        <w:tblBorders>
          <w:top w:val="single" w:color="4874CB" w:sz="8" w:space="0"/>
          <w:left w:val="single" w:color="4874CB" w:sz="8" w:space="0"/>
          <w:bottom w:val="single" w:color="4874CB" w:sz="8" w:space="0"/>
          <w:right w:val="single" w:color="4874CB" w:sz="8" w:space="0"/>
          <w:insideH w:val="single" w:color="4874CB" w:sz="8" w:space="0"/>
          <w:insideV w:val="single" w:color="4874CB" w:sz="8" w:space="0"/>
        </w:tblBorders>
        <w:tblLayout w:type="autofit"/>
        <w:tblCellMar>
          <w:left w:w="108" w:type="dxa"/>
          <w:top w:w="0" w:type="dxa"/>
          <w:right w:w="108" w:type="dxa"/>
          <w:bottom w:w="0" w:type="dxa"/>
        </w:tblCellMar>
        <w:tblLook w:val="04A0" w:firstRow="1" w:lastRow="0" w:firstColumn="1" w:lastColumn="0" w:noHBand="0" w:noVBand="1"/>
      </w:tblPr>
      <w:tblGrid>
        <w:gridCol w:w="2207"/>
        <w:gridCol w:w="4846"/>
        <w:gridCol w:w="1991"/>
      </w:tblGrid>
      <w:tr>
        <w:trPr>
          <w:trHeight w:val="535"/>
        </w:trPr>
        <w:tc>
          <w:tcPr>
            <w:shd w:val="clear" w:color="auto" w:fill="dbe3f4"/>
            <w:tcW w:w="12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8090c"/>
                <w:sz w:val="21"/>
                <w:szCs w:val="21"/>
                <w:highlight w:val="none"/>
              </w:rPr>
            </w:pPr>
            <w:r>
              <w:rPr>
                <w:rFonts w:hint="eastAsia" w:ascii="宋体" w:hAnsi="宋体" w:eastAsia="宋体" w:cs="宋体"/>
                <w:b/>
                <w:bCs/>
                <w:color w:val="08090c"/>
                <w:sz w:val="21"/>
                <w:szCs w:val="21"/>
                <w:highlight w:val="none"/>
                <w:lang w:bidi="ar"/>
              </w:rPr>
              <w:t xml:space="preserve">技术组件</w:t>
            </w:r>
            <w:r>
              <w:rPr>
                <w:rFonts w:hint="eastAsia" w:ascii="宋体" w:hAnsi="宋体" w:eastAsia="宋体" w:cs="宋体"/>
                <w:b/>
                <w:bCs/>
                <w:color w:val="08090c"/>
                <w:sz w:val="21"/>
                <w:szCs w:val="21"/>
                <w:highlight w:val="none"/>
              </w:rPr>
            </w:r>
            <w:r/>
          </w:p>
        </w:tc>
        <w:tc>
          <w:tcPr>
            <w:shd w:val="clear" w:color="auto" w:fill="dbe3f4"/>
            <w:tcW w:w="267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8090c"/>
                <w:sz w:val="21"/>
                <w:szCs w:val="21"/>
                <w:highlight w:val="none"/>
              </w:rPr>
            </w:pPr>
            <w:r>
              <w:rPr>
                <w:rFonts w:hint="eastAsia" w:ascii="宋体" w:hAnsi="宋体" w:eastAsia="宋体" w:cs="宋体"/>
                <w:b/>
                <w:bCs/>
                <w:color w:val="08090c"/>
                <w:sz w:val="21"/>
                <w:szCs w:val="21"/>
                <w:highlight w:val="none"/>
                <w:lang w:bidi="ar"/>
              </w:rPr>
              <w:t xml:space="preserve">参数规格</w:t>
            </w:r>
            <w:r>
              <w:rPr>
                <w:rFonts w:hint="eastAsia" w:ascii="宋体" w:hAnsi="宋体" w:eastAsia="宋体" w:cs="宋体"/>
                <w:b/>
                <w:bCs/>
                <w:color w:val="08090c"/>
                <w:sz w:val="21"/>
                <w:szCs w:val="21"/>
                <w:highlight w:val="none"/>
              </w:rPr>
            </w:r>
            <w:r/>
          </w:p>
        </w:tc>
        <w:tc>
          <w:tcPr>
            <w:shd w:val="clear" w:color="auto" w:fill="dbe3f4"/>
            <w:tcW w:w="110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8090c"/>
                <w:sz w:val="21"/>
                <w:szCs w:val="21"/>
                <w:highlight w:val="none"/>
                <w:lang w:bidi="ar"/>
              </w:rPr>
            </w:pPr>
            <w:r>
              <w:rPr>
                <w:rFonts w:hint="eastAsia" w:ascii="宋体" w:hAnsi="宋体" w:eastAsia="宋体" w:cs="宋体"/>
                <w:b/>
                <w:bCs/>
                <w:color w:val="08090c"/>
                <w:sz w:val="21"/>
                <w:szCs w:val="21"/>
                <w:highlight w:val="none"/>
                <w:lang w:bidi="ar"/>
              </w:rPr>
              <w:t xml:space="preserve">备注</w:t>
            </w:r>
            <w:r>
              <w:rPr>
                <w:rFonts w:hint="eastAsia" w:ascii="宋体" w:hAnsi="宋体" w:eastAsia="宋体" w:cs="宋体"/>
                <w:b/>
                <w:bCs/>
                <w:color w:val="08090c"/>
                <w:sz w:val="21"/>
                <w:szCs w:val="21"/>
                <w:highlight w:val="none"/>
                <w:lang w:bidi="ar"/>
              </w:rPr>
            </w:r>
            <w:r/>
          </w:p>
        </w:tc>
      </w:tr>
      <w:tr>
        <w:trPr>
          <w:trHeight w:val="285"/>
        </w:trPr>
        <w:tc>
          <w:tcPr>
            <w:shd w:val="clear" w:color="auto" w:fill="ffffff"/>
            <w:tcW w:w="12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GIS服务引擎</w:t>
            </w:r>
            <w:r>
              <w:rPr>
                <w:rFonts w:hint="eastAsia" w:ascii="宋体" w:hAnsi="宋体" w:eastAsia="宋体" w:cs="宋体"/>
                <w:color w:val="000000"/>
                <w:sz w:val="21"/>
                <w:szCs w:val="21"/>
                <w:highlight w:val="none"/>
              </w:rPr>
            </w:r>
            <w:r/>
          </w:p>
        </w:tc>
        <w:tc>
          <w:tcPr>
            <w:shd w:val="clear" w:color="auto" w:fill="ffffff"/>
            <w:tcW w:w="267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支持100+并发瓦片请求，瓦片缓存命中率≥90%</w:t>
            </w:r>
            <w:r>
              <w:rPr>
                <w:rFonts w:hint="eastAsia" w:ascii="宋体" w:hAnsi="宋体" w:eastAsia="宋体" w:cs="宋体"/>
                <w:color w:val="000000"/>
                <w:sz w:val="21"/>
                <w:szCs w:val="21"/>
                <w:highlight w:val="none"/>
              </w:rPr>
            </w:r>
            <w:r/>
          </w:p>
        </w:tc>
        <w:tc>
          <w:tcPr>
            <w:shd w:val="clear" w:color="auto" w:fill="ffffff"/>
            <w:tcW w:w="1100" w:type="dxa"/>
            <w:vAlign w:val="center"/>
            <w:vMerge w:val="restart"/>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具体选型必须符合国产</w:t>
            </w:r>
            <w:r>
              <w:rPr>
                <w:rFonts w:hint="eastAsia" w:ascii="宋体" w:hAnsi="宋体" w:eastAsia="宋体" w:cs="宋体"/>
                <w:color w:val="000000"/>
                <w:sz w:val="21"/>
                <w:szCs w:val="21"/>
                <w:highlight w:val="none"/>
                <w:lang w:eastAsia="zh-CN" w:bidi="ar"/>
              </w:rPr>
              <w:t xml:space="preserve">安全可靠</w:t>
            </w:r>
            <w:r>
              <w:rPr>
                <w:rFonts w:hint="eastAsia" w:ascii="宋体" w:hAnsi="宋体" w:eastAsia="宋体" w:cs="宋体"/>
                <w:color w:val="000000"/>
                <w:sz w:val="21"/>
                <w:szCs w:val="21"/>
                <w:highlight w:val="none"/>
                <w:lang w:bidi="ar"/>
              </w:rPr>
              <w:t xml:space="preserve">要求</w:t>
            </w:r>
            <w:r>
              <w:rPr>
                <w:rFonts w:hint="eastAsia" w:ascii="宋体" w:hAnsi="宋体" w:eastAsia="宋体" w:cs="宋体"/>
                <w:color w:val="000000"/>
                <w:sz w:val="21"/>
                <w:szCs w:val="21"/>
                <w:highlight w:val="none"/>
                <w:lang w:bidi="ar"/>
              </w:rPr>
            </w:r>
            <w:r/>
          </w:p>
        </w:tc>
      </w:tr>
      <w:tr>
        <w:trPr>
          <w:trHeight w:val="285"/>
        </w:trPr>
        <w:tc>
          <w:tcPr>
            <w:shd w:val="clear" w:color="auto" w:fill="ffffff"/>
            <w:tcW w:w="12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空间数据库</w:t>
            </w:r>
            <w:r>
              <w:rPr>
                <w:rFonts w:hint="eastAsia" w:ascii="宋体" w:hAnsi="宋体" w:eastAsia="宋体" w:cs="宋体"/>
                <w:color w:val="000000"/>
                <w:sz w:val="21"/>
                <w:szCs w:val="21"/>
                <w:highlight w:val="none"/>
              </w:rPr>
            </w:r>
            <w:r/>
          </w:p>
        </w:tc>
        <w:tc>
          <w:tcPr>
            <w:shd w:val="clear" w:color="auto" w:fill="ffffff"/>
            <w:tcW w:w="267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空间索引GiST，支持TB级矢量数据存储</w:t>
            </w:r>
            <w:r>
              <w:rPr>
                <w:rFonts w:hint="eastAsia" w:ascii="宋体" w:hAnsi="宋体" w:eastAsia="宋体" w:cs="宋体"/>
                <w:color w:val="000000"/>
                <w:sz w:val="21"/>
                <w:szCs w:val="21"/>
                <w:highlight w:val="none"/>
              </w:rPr>
            </w:r>
            <w:r/>
          </w:p>
        </w:tc>
        <w:tc>
          <w:tcPr>
            <w:shd w:val="clear" w:color="auto" w:fill="ffffff"/>
            <w:tcW w:w="1100" w:type="dxa"/>
            <w:vAlign w:val="center"/>
            <w:vMerge w:val="continue"/>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85"/>
        </w:trPr>
        <w:tc>
          <w:tcPr>
            <w:shd w:val="clear" w:color="auto" w:fill="ffffff"/>
            <w:tcW w:w="12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瓦片服务</w:t>
            </w:r>
            <w:r>
              <w:rPr>
                <w:rFonts w:hint="eastAsia" w:ascii="宋体" w:hAnsi="宋体" w:eastAsia="宋体" w:cs="宋体"/>
                <w:color w:val="000000"/>
                <w:sz w:val="21"/>
                <w:szCs w:val="21"/>
                <w:highlight w:val="none"/>
              </w:rPr>
            </w:r>
            <w:r/>
          </w:p>
        </w:tc>
        <w:tc>
          <w:tcPr>
            <w:shd w:val="clear" w:color="auto" w:fill="ffffff"/>
            <w:tcW w:w="267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瓦片大小256×256，首屏加载≤2秒</w:t>
            </w:r>
            <w:r>
              <w:rPr>
                <w:rFonts w:hint="eastAsia" w:ascii="宋体" w:hAnsi="宋体" w:eastAsia="宋体" w:cs="宋体"/>
                <w:color w:val="000000"/>
                <w:sz w:val="21"/>
                <w:szCs w:val="21"/>
                <w:highlight w:val="none"/>
              </w:rPr>
            </w:r>
            <w:r/>
          </w:p>
        </w:tc>
        <w:tc>
          <w:tcPr>
            <w:shd w:val="clear" w:color="auto" w:fill="ffffff"/>
            <w:tcW w:w="1100" w:type="dxa"/>
            <w:vAlign w:val="center"/>
            <w:vMerge w:val="continue"/>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85"/>
        </w:trPr>
        <w:tc>
          <w:tcPr>
            <w:shd w:val="clear" w:color="auto" w:fill="ffffff"/>
            <w:tcW w:w="12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前端地图SDK</w:t>
            </w:r>
            <w:r>
              <w:rPr>
                <w:rFonts w:hint="eastAsia" w:ascii="宋体" w:hAnsi="宋体" w:eastAsia="宋体" w:cs="宋体"/>
                <w:color w:val="000000"/>
                <w:sz w:val="21"/>
                <w:szCs w:val="21"/>
                <w:highlight w:val="none"/>
              </w:rPr>
            </w:r>
            <w:r/>
          </w:p>
        </w:tc>
        <w:tc>
          <w:tcPr>
            <w:shd w:val="clear" w:color="auto" w:fill="ffffff"/>
            <w:tcW w:w="267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支持矢量瓦片、动态图层、点击查询</w:t>
            </w:r>
            <w:r>
              <w:rPr>
                <w:rFonts w:hint="eastAsia" w:ascii="宋体" w:hAnsi="宋体" w:eastAsia="宋体" w:cs="宋体"/>
                <w:color w:val="000000"/>
                <w:sz w:val="21"/>
                <w:szCs w:val="21"/>
                <w:highlight w:val="none"/>
              </w:rPr>
            </w:r>
            <w:r/>
          </w:p>
        </w:tc>
        <w:tc>
          <w:tcPr>
            <w:shd w:val="clear" w:color="auto" w:fill="ffffff"/>
            <w:tcW w:w="1100" w:type="dxa"/>
            <w:vAlign w:val="center"/>
            <w:vMerge w:val="continue"/>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85"/>
        </w:trPr>
        <w:tc>
          <w:tcPr>
            <w:shd w:val="clear" w:color="auto" w:fill="ffffff"/>
            <w:tcW w:w="12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地图底图</w:t>
            </w:r>
            <w:r>
              <w:rPr>
                <w:rFonts w:hint="eastAsia" w:ascii="宋体" w:hAnsi="宋体" w:eastAsia="宋体" w:cs="宋体"/>
                <w:color w:val="000000"/>
                <w:sz w:val="21"/>
                <w:szCs w:val="21"/>
                <w:highlight w:val="none"/>
              </w:rPr>
            </w:r>
            <w:r/>
          </w:p>
        </w:tc>
        <w:tc>
          <w:tcPr>
            <w:shd w:val="clear" w:color="auto" w:fill="ffffff"/>
            <w:tcW w:w="267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通过天地图API调用，支持影像图和矢量图</w:t>
            </w:r>
            <w:r>
              <w:rPr>
                <w:rFonts w:hint="eastAsia" w:ascii="宋体" w:hAnsi="宋体" w:eastAsia="宋体" w:cs="宋体"/>
                <w:color w:val="000000"/>
                <w:sz w:val="21"/>
                <w:szCs w:val="21"/>
                <w:highlight w:val="none"/>
              </w:rPr>
            </w:r>
            <w:r/>
          </w:p>
        </w:tc>
        <w:tc>
          <w:tcPr>
            <w:shd w:val="clear" w:color="auto" w:fill="ffffff"/>
            <w:tcW w:w="1100" w:type="dxa"/>
            <w:vAlign w:val="center"/>
            <w:vMerge w:val="continue"/>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85"/>
        </w:trPr>
        <w:tc>
          <w:tcPr>
            <w:shd w:val="clear" w:color="auto" w:fill="ffffff"/>
            <w:tcW w:w="122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服务接口</w:t>
            </w:r>
            <w:r>
              <w:rPr>
                <w:rFonts w:hint="eastAsia" w:ascii="宋体" w:hAnsi="宋体" w:eastAsia="宋体" w:cs="宋体"/>
                <w:color w:val="000000"/>
                <w:sz w:val="21"/>
                <w:szCs w:val="21"/>
                <w:highlight w:val="none"/>
              </w:rPr>
            </w:r>
            <w:r/>
          </w:p>
        </w:tc>
        <w:tc>
          <w:tcPr>
            <w:shd w:val="clear" w:color="auto" w:fill="ffffff"/>
            <w:tcW w:w="267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响应时间≤500ms，限流1000次/分钟，JWT认证</w:t>
            </w:r>
            <w:r>
              <w:rPr>
                <w:rFonts w:hint="eastAsia" w:ascii="宋体" w:hAnsi="宋体" w:eastAsia="宋体" w:cs="宋体"/>
                <w:color w:val="000000"/>
                <w:sz w:val="21"/>
                <w:szCs w:val="21"/>
                <w:highlight w:val="none"/>
              </w:rPr>
            </w:r>
            <w:r/>
          </w:p>
        </w:tc>
        <w:tc>
          <w:tcPr>
            <w:shd w:val="clear" w:color="auto" w:fill="ffffff"/>
            <w:tcW w:w="1100" w:type="dxa"/>
            <w:vAlign w:val="center"/>
            <w:vMerge w:val="continue"/>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bl>
    <w:p>
      <w:pPr>
        <w:pStyle w:val="973"/>
        <w:ind w:left="0" w:firstLine="422"/>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图层服务配置</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73"/>
        <w:numPr>
          <w:ilvl w:val="0"/>
          <w:numId w:val="28"/>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基础图层数量：≥18类</w:t>
      </w:r>
      <w:r>
        <w:rPr>
          <w:rFonts w:hint="eastAsia" w:ascii="宋体" w:hAnsi="宋体" w:eastAsia="宋体" w:cs="宋体"/>
          <w:sz w:val="21"/>
          <w:szCs w:val="21"/>
          <w:highlight w:val="none"/>
          <w:lang w:val="en-US" w:eastAsia="zh-CN" w:bidi="ar-SA"/>
        </w:rPr>
      </w:r>
      <w:r/>
    </w:p>
    <w:p>
      <w:pPr>
        <w:pStyle w:val="973"/>
        <w:numPr>
          <w:ilvl w:val="0"/>
          <w:numId w:val="28"/>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专题图层数量：≥12类</w:t>
      </w:r>
      <w:r>
        <w:rPr>
          <w:rFonts w:hint="eastAsia" w:ascii="宋体" w:hAnsi="宋体" w:eastAsia="宋体" w:cs="宋体"/>
          <w:sz w:val="21"/>
          <w:szCs w:val="21"/>
          <w:highlight w:val="none"/>
          <w:lang w:val="en-US" w:eastAsia="zh-CN" w:bidi="ar-SA"/>
        </w:rPr>
      </w:r>
      <w:r/>
    </w:p>
    <w:p>
      <w:pPr>
        <w:pStyle w:val="973"/>
        <w:numPr>
          <w:ilvl w:val="0"/>
          <w:numId w:val="28"/>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图层控制：支持按角色配置可见性，支持底图切换</w:t>
      </w:r>
      <w:r>
        <w:rPr>
          <w:rFonts w:hint="eastAsia" w:ascii="宋体" w:hAnsi="宋体" w:eastAsia="宋体" w:cs="宋体"/>
          <w:sz w:val="21"/>
          <w:szCs w:val="21"/>
          <w:highlight w:val="none"/>
          <w:lang w:val="en-US" w:eastAsia="zh-CN" w:bidi="ar-SA"/>
        </w:rPr>
      </w:r>
      <w:r/>
    </w:p>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2"/>
      </w:pPr>
      <w:r/>
      <w:bookmarkStart w:id="72" w:name="_Toc22161"/>
      <w:r>
        <w:rPr>
          <w:rFonts w:hint="eastAsia" w:ascii="宋体" w:hAnsi="宋体" w:eastAsia="宋体" w:cs="宋体"/>
          <w:b w:val="0"/>
          <w:bCs/>
          <w:sz w:val="21"/>
          <w:szCs w:val="21"/>
          <w:highlight w:val="none"/>
          <w:lang w:val="en-US" w:eastAsia="zh-CN" w:bidi="ar-SA"/>
        </w:rPr>
        <w:t xml:space="preserve">(2) 数据分析服务平台</w:t>
      </w:r>
      <w:bookmarkEnd w:id="72"/>
      <w:r>
        <w:rPr>
          <w:rFonts w:hint="eastAsia" w:ascii="宋体" w:hAnsi="宋体" w:eastAsia="宋体" w:cs="宋体"/>
          <w:b w:val="0"/>
          <w:bCs/>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数据分析服务平台是基于大数据建模、机器学习算法的智能化系统，对监测数据进行深度挖掘，提供预警、诊断、预测等服务，为管理层提供数据驱动的决策建议。</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监测设备健康评估模型</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判定流量、液位等监测设备性能，智能辅助设备运维提醒，保障数据有效性【24小时发表1次诊断结果】包含：模型构建与校准、多场景风险诊断分析、成果输出与优化建议，后续服务支持</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管网雨污混接识别模型</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时动态识别监测设备管辖区域雨污混接【包含雨进污、污进雨】问题；算法依据：非降雨时段，雨水管道局部流量、流速呈规律性波动；发生降雨时，污水管道局部水位和流速快速上升；判断：污水混接入雨水管道；雨水混接入污水管道</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管网污水偷排识别模型</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算法依据：非降雨时段，雨水管道夜间经常性出现明显的流水现象，持续一小段时间后恢复正常；判断周期：12h、24h、48h、96h、240h（每个时间点都形成一个变化曲线，给管道做不同时间点的CT片子）</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排水管网溢流识别模型</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根据管网液位监测数据，实时动态识别排水管网高水位运行及溢流问题；包含：模型构建与校准、多场景风险诊断分析、成果输出与优化建议，后续服务支持</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流量、液位突变阈值算法模型</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动态识别监测点位流量、液位异常问题；包含：模型构建与校准、多场景风险诊断分析、成果输出与优化建议，后续服务支持</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排水管网淤积风险诊断模型</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定量评估监测点位管辖区域管网淤积程度问题，辅助区域管网清淤工程指导；算法依据：水深/井深形成明显波峰；判断周期：12h、24h、48h、96h、240h（每个时间点都形成一个变化曲线，给管道做不同时间点的CT片子）</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排水管网溢流风险诊断模型</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定量评估监测点位管辖区域管网溢流风险程度，辅助实现区域管网运行负荷状况分析，以及城市内涝应急处置及治理策略制定</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污水厂进水浓度评估模型</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整合旱季截流量、初期雨水转输、工业污水、管网入渗等数据计算污染总数，综合分析，给污水厂进度浓度低的问题提供决策依据</w:t>
      </w:r>
      <w:r>
        <w:rPr>
          <w:rFonts w:hint="eastAsia" w:ascii="宋体" w:hAnsi="宋体" w:eastAsia="宋体" w:cs="宋体"/>
          <w:sz w:val="21"/>
          <w:szCs w:val="21"/>
          <w:highlight w:val="none"/>
        </w:rPr>
      </w:r>
      <w:r/>
    </w:p>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bCs/>
          <w:sz w:val="21"/>
          <w:szCs w:val="21"/>
          <w:highlight w:val="none"/>
          <w:lang w:val="en-US" w:eastAsia="zh-CN" w:bidi="ar-SA"/>
        </w:rPr>
        <w:t xml:space="preserve">(3) 数据治理</w:t>
      </w:r>
      <w:r>
        <w:rPr>
          <w:rFonts w:hint="eastAsia" w:ascii="宋体" w:hAnsi="宋体" w:eastAsia="宋体" w:cs="宋体"/>
          <w:b w:val="0"/>
          <w:bCs/>
          <w:sz w:val="21"/>
          <w:szCs w:val="21"/>
          <w:highlight w:val="none"/>
          <w:lang w:val="en-US" w:eastAsia="zh-CN" w:bidi="ar-SA"/>
        </w:rPr>
      </w:r>
      <w:r/>
    </w:p>
    <w:p>
      <w:pPr>
        <w:pStyle w:val="973"/>
        <w:ind w:left="0" w:firstLine="420"/>
        <w:keepLines w:val="0"/>
        <w:keepNext w:val="0"/>
        <w:pageBreakBefore w:val="0"/>
        <w:spacing w:after="65"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项目提供三年数据质量评估清洗与标准服务，内容如下：</w:t>
      </w:r>
      <w:r>
        <w:rPr>
          <w:rFonts w:hint="eastAsia" w:ascii="宋体" w:hAnsi="宋体" w:eastAsia="宋体" w:cs="宋体"/>
          <w:sz w:val="21"/>
          <w:szCs w:val="21"/>
          <w:highlight w:val="none"/>
        </w:rPr>
      </w:r>
      <w:r/>
    </w:p>
    <w:p>
      <w:pPr>
        <w:pStyle w:val="973"/>
        <w:ind w:left="0" w:firstLine="420"/>
        <w:keepLines w:val="0"/>
        <w:keepNext w:val="0"/>
        <w:pageBreakBefore w:val="0"/>
        <w:spacing w:after="65"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3"/>
        <w:ind w:left="0" w:firstLine="420"/>
        <w:keepLines w:val="0"/>
        <w:keepNext w:val="0"/>
        <w:pageBreakBefore w:val="0"/>
        <w:spacing w:after="65" w:line="44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bl>
      <w:tblPr>
        <w:tblW w:w="9125"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90"/>
        <w:gridCol w:w="7335"/>
      </w:tblGrid>
      <w:tr>
        <w:trPr>
          <w:trHeight w:val="513"/>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子模块</w:t>
            </w:r>
            <w:r>
              <w:rPr>
                <w:rFonts w:hint="eastAsia" w:ascii="宋体" w:hAnsi="宋体" w:eastAsia="宋体" w:cs="宋体"/>
                <w:b/>
                <w:bCs/>
                <w:color w:val="000000"/>
                <w:sz w:val="21"/>
                <w:szCs w:val="21"/>
                <w:highlight w:val="none"/>
              </w:rPr>
            </w:r>
            <w:r/>
          </w:p>
        </w:tc>
        <w:tc>
          <w:tcPr>
            <w:tcW w:w="7335"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功能描述</w:t>
            </w:r>
            <w:r>
              <w:rPr>
                <w:rFonts w:hint="eastAsia" w:ascii="宋体" w:hAnsi="宋体" w:eastAsia="宋体" w:cs="宋体"/>
                <w:b/>
                <w:bCs/>
                <w:color w:val="000000"/>
                <w:sz w:val="21"/>
                <w:szCs w:val="21"/>
                <w:highlight w:val="none"/>
              </w:rPr>
            </w:r>
            <w:r/>
          </w:p>
        </w:tc>
      </w:tr>
      <w:tr>
        <w:trPr>
          <w:trHeight w:val="513"/>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河湖</w:t>
            </w:r>
            <w:r>
              <w:rPr>
                <w:rFonts w:hint="eastAsia" w:ascii="宋体" w:hAnsi="宋体" w:eastAsia="宋体" w:cs="宋体"/>
                <w:color w:val="000000"/>
                <w:sz w:val="21"/>
                <w:szCs w:val="21"/>
                <w:highlight w:val="none"/>
                <w:lang w:val="en-US" w:eastAsia="zh-CN" w:bidi="ar-SA"/>
              </w:rPr>
            </w:r>
            <w:r/>
          </w:p>
        </w:tc>
        <w:tc>
          <w:tcPr>
            <w:tcW w:w="7335" w:type="dxa"/>
            <w:vAlign w:val="center"/>
            <w:textDirection w:val="lrTb"/>
            <w:noWrap/>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包含但不限于以下数据字段：区域、类型、状态、状态、流域面积、河湖长、实时水位、实时水位高程、正常水位、历史最高水位、实时过水流量、实时富余过水流量、河湖库容余量、水质；</w:t>
            </w:r>
            <w:r>
              <w:rPr>
                <w:rFonts w:hint="eastAsia" w:ascii="宋体" w:hAnsi="宋体" w:eastAsia="宋体" w:cs="宋体"/>
                <w:color w:val="000000"/>
                <w:sz w:val="21"/>
                <w:szCs w:val="21"/>
                <w:highlight w:val="none"/>
                <w:lang w:val="en-US" w:eastAsia="zh-CN" w:bidi="ar-SA"/>
              </w:rPr>
            </w:r>
            <w:r/>
          </w:p>
        </w:tc>
      </w:tr>
      <w:tr>
        <w:trPr>
          <w:trHeight w:val="2740"/>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入河排口</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包含但不限于以下数据字段：排放口标识码,排水系统编码,坐标x,坐标y,受纳水体编号,所在政区,类别,是否有拍门,底部</w:t>
            </w:r>
            <w:r>
              <w:rPr>
                <w:rFonts w:hint="eastAsia" w:ascii="宋体" w:hAnsi="宋体" w:eastAsia="宋体" w:cs="宋体"/>
                <w:color w:val="000000"/>
                <w:sz w:val="21"/>
                <w:szCs w:val="21"/>
                <w:highlight w:val="none"/>
              </w:rPr>
              <w:t xml:space="preserve">高程,出流形式,数据来源,数据获取时间,填报单位,填报日期,排放口名称,排放口地址,排口断面形式,排口断面数据1,排口断面数据2,是否设置末端截流,截流设施标识码,排放口地表高程,排放口顶部高程,拍门材质,拍门直径,拍门顶部高程,拍门底部高程,淹没常水位,潮位曲线,旱季污水排放量,排放口COD浓度,排放口NH3-N浓度,排放口TP浓度,汇水辖区,设施状态,权属单位,建设单位,设计单位,施工单位,管理单位,养护单位,建设年代,竣工日期,投运日期,改建日期,备注,项目名称,排放口类型,所属污水系统,所属雨水系统</w:t>
            </w:r>
            <w:r>
              <w:rPr>
                <w:rFonts w:hint="eastAsia" w:ascii="宋体" w:hAnsi="宋体" w:eastAsia="宋体" w:cs="宋体"/>
                <w:color w:val="000000"/>
                <w:sz w:val="21"/>
                <w:szCs w:val="21"/>
                <w:highlight w:val="none"/>
              </w:rPr>
            </w:r>
            <w:r/>
          </w:p>
        </w:tc>
      </w:tr>
      <w:tr>
        <w:trPr>
          <w:trHeight w:val="2140"/>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雨水收水井</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雨水口标识码,排水系统编码,坐标x,坐标y,所在道路名称,所在政区,雨水口形式,雨水口形状,雨水口尺寸1,雨水口尺寸2,雨水篦材质,雨水篦间距,雨水篦厚度,雨水口最大深度,雨水口地面高程,数据来源,数据获取时间,填报单位,填报日期,设计能力,是否装备垃圾拦截装置,是否装置防臭装置,是否装备初期雨水截流装置,设施状态,排放口,权属单位,建设单位,设计单位,施工单位,管理单位,养护单位,建设年代,竣工日期,投运日期,改建日期,备注,项目名称,所属污水系统,所属雨水系统</w:t>
            </w:r>
            <w:r>
              <w:rPr>
                <w:rFonts w:hint="eastAsia" w:ascii="宋体" w:hAnsi="宋体" w:eastAsia="宋体" w:cs="宋体"/>
                <w:color w:val="000000"/>
                <w:sz w:val="21"/>
                <w:szCs w:val="21"/>
                <w:highlight w:val="none"/>
              </w:rPr>
            </w:r>
            <w:r/>
          </w:p>
        </w:tc>
      </w:tr>
      <w:tr>
        <w:trPr>
          <w:trHeight w:val="3133"/>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雨水检查井</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包含但不限于以下数据字段：检查井标识码,排水系统编码,坐标x,坐标y,所在道路名称,所在政区,检查井类别,检查井类型,检查井形式,检查井井深,地面高程,数据来源,数据获取日期</w:t>
            </w:r>
            <w:r>
              <w:rPr>
                <w:rFonts w:hint="eastAsia" w:ascii="宋体" w:hAnsi="宋体" w:eastAsia="宋体" w:cs="宋体"/>
                <w:color w:val="000000"/>
                <w:sz w:val="21"/>
                <w:szCs w:val="21"/>
                <w:highlight w:val="none"/>
              </w:rPr>
              <w:t xml:space="preserve">,填报单位,填报日期,附属物描述,检查井盖材质,井盖形状,井盖尺寸1,井盖尺寸2,井盖尺寸3,井盖厚度,井室类型,井室长度,井室宽度,井室高度,井筒高度,探测时水深,探测时泥深,探测日期,井底形式,检查井等级,设施状态,是否偏心井,偏心井坐标X(离心井必填),偏心井坐标Y(离心井必填),是否是边界外延点,接入类型,接入描述,边界外延点(上(下)游排水井编号),排放口,权属单位,建设单位,设计单位,施工单位,管理单位,养护单位,建设年代,竣工日期,投运日期,改建日期,备注,项目名称,所属污水系统,所属雨水系统</w:t>
            </w:r>
            <w:r>
              <w:rPr>
                <w:rFonts w:hint="eastAsia" w:ascii="宋体" w:hAnsi="宋体" w:eastAsia="宋体" w:cs="宋体"/>
                <w:color w:val="000000"/>
                <w:sz w:val="21"/>
                <w:szCs w:val="21"/>
                <w:highlight w:val="none"/>
              </w:rPr>
            </w:r>
            <w:r/>
          </w:p>
        </w:tc>
      </w:tr>
      <w:tr>
        <w:trPr>
          <w:trHeight w:val="2800"/>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雨水管线</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包含但不限于以下数据字段：排水管标识码,排水系统编码,管道类别,管道长度,所在道路名称,所在政区,起点编码,终</w:t>
            </w:r>
            <w:r>
              <w:rPr>
                <w:rFonts w:hint="eastAsia" w:ascii="宋体" w:hAnsi="宋体" w:eastAsia="宋体" w:cs="宋体"/>
                <w:color w:val="000000"/>
                <w:sz w:val="21"/>
                <w:szCs w:val="21"/>
                <w:highlight w:val="none"/>
              </w:rPr>
              <w:t xml:space="preserve">点编码,起点管底标高,终点管底标高,断面形式,是否倒虹管,断面数据1,断面数据2,断面数据3,断面数据4,断面数据5,管道材质,管道糙率,数据来源,数据获取日期,填报单位,填报日期,压力类型,壁厚,管道衬里材质,衬里厚度,接头形式,连接方式,管道坡度,管理归属,断面面积,是否有自冲洗设备,是否存在雨污混接现象,原始结构状态,敷设方式,非开挖维修方式,设施状态,排放口,权属单位,建设单位,设计单位,施工单位,管理单位,养护单位,建设年代,竣工日期,投运日期,改建日期,备注,项目名称,所属污水系统,所属雨水系统</w:t>
            </w:r>
            <w:r>
              <w:rPr>
                <w:rFonts w:hint="eastAsia" w:ascii="宋体" w:hAnsi="宋体" w:eastAsia="宋体" w:cs="宋体"/>
                <w:color w:val="000000"/>
                <w:sz w:val="21"/>
                <w:szCs w:val="21"/>
                <w:highlight w:val="none"/>
              </w:rPr>
            </w:r>
            <w:r/>
          </w:p>
        </w:tc>
      </w:tr>
      <w:tr>
        <w:trPr>
          <w:trHeight w:val="2800"/>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污水检查井</w:t>
            </w:r>
            <w:r>
              <w:rPr>
                <w:rFonts w:hint="eastAsia" w:ascii="宋体" w:hAnsi="宋体" w:eastAsia="宋体" w:cs="宋体"/>
                <w:color w:val="000000"/>
                <w:sz w:val="21"/>
                <w:szCs w:val="21"/>
                <w:highlight w:val="none"/>
                <w:lang w:val="en-US" w:eastAsia="zh-CN" w:bidi="ar-SA"/>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包含但不限于以下数据字段：检查井标识码,排水系统编码,坐标x,坐标y,所在道路名称,所在政区,检查井类别,检查井类型,检查井形式,检查井井深,地面高程,数据来源,数据获取日期</w:t>
            </w:r>
            <w:r>
              <w:rPr>
                <w:rFonts w:hint="eastAsia" w:ascii="宋体" w:hAnsi="宋体" w:eastAsia="宋体" w:cs="宋体"/>
                <w:color w:val="000000"/>
                <w:sz w:val="21"/>
                <w:szCs w:val="21"/>
                <w:highlight w:val="none"/>
              </w:rPr>
              <w:t xml:space="preserve">,填报单位,填报日期,附属物描述,检查井盖材质,井盖形状,井盖尺寸1,井盖尺寸2,井盖尺寸3,井盖厚度,井室类型,井室长度,井室宽度,井室高度,井筒高度,探测时水深,探测时泥深,探测日期,井底形式,检查井等级,设施状态,是否偏心井,偏心井坐标X(离心井必填),偏心井坐标Y(离心井必填),是否是边界外延点,接入类型,接入描述,边界外延点(上(下)游排水井编号),排放口,权属单位,建设单位,设计单位,施工单位,管理单位,养护单位,建设年代,竣工日期,投运日期,改建日期,备注,项目名称,所属污水系统,所属雨水系统</w:t>
            </w:r>
            <w:r>
              <w:rPr>
                <w:rFonts w:hint="eastAsia" w:ascii="宋体" w:hAnsi="宋体" w:eastAsia="宋体" w:cs="宋体"/>
                <w:color w:val="000000"/>
                <w:sz w:val="21"/>
                <w:szCs w:val="21"/>
                <w:highlight w:val="none"/>
                <w:lang w:val="en-US" w:eastAsia="zh-CN" w:bidi="ar-SA"/>
              </w:rPr>
            </w:r>
            <w:r/>
          </w:p>
        </w:tc>
      </w:tr>
      <w:tr>
        <w:trPr>
          <w:trHeight w:val="2665"/>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污水管线</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包含但不限于以下数据字段：排水管标识码,排水系统编码,管道类别,管道长度,所在道路名称,所在政区,起点编码,终</w:t>
            </w:r>
            <w:r>
              <w:rPr>
                <w:rFonts w:hint="eastAsia" w:ascii="宋体" w:hAnsi="宋体" w:eastAsia="宋体" w:cs="宋体"/>
                <w:color w:val="000000"/>
                <w:sz w:val="21"/>
                <w:szCs w:val="21"/>
                <w:highlight w:val="none"/>
              </w:rPr>
              <w:t xml:space="preserve">点编码,起点管底标高,终点管底标高,断面形式,是否倒虹管,断面数据1,断面数据2,断面数据3,断面数据4,断面数据5,管道材质,管道糙率,数据来源,数据获取日期,填报单位,填报日期,压力类型,壁厚,管道衬里材质,衬里厚度,接头形式,连接方式,管道坡度,管理归属,断面面积,是否有自冲洗设备,是否存在雨污混接现象,原始结构状态,敷设方式,非开挖维修方式,设施状态,排放口,权属单位,建设单位,设计单位,施工单位,管理单位,养护单位,建设年代,竣工日期,投运日期,改建日期,备注,项目名称,所属污水系统,所属雨水系统</w:t>
            </w:r>
            <w:r>
              <w:rPr>
                <w:rFonts w:hint="eastAsia" w:ascii="宋体" w:hAnsi="宋体" w:eastAsia="宋体" w:cs="宋体"/>
                <w:color w:val="000000"/>
                <w:sz w:val="21"/>
                <w:szCs w:val="21"/>
                <w:highlight w:val="none"/>
              </w:rPr>
            </w:r>
            <w:r/>
          </w:p>
        </w:tc>
      </w:tr>
      <w:tr>
        <w:trPr>
          <w:trHeight w:val="2793"/>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合流管检查井</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包含但不限于以下数据字段：检查井标识码,排水系统编码,坐标x,坐标y,所在道路名称,所在政区,检查井类别,检查井类型,检查井形式,检查井井深,地面高程,数据来源,数据获取日期</w:t>
            </w:r>
            <w:r>
              <w:rPr>
                <w:rFonts w:hint="eastAsia" w:ascii="宋体" w:hAnsi="宋体" w:eastAsia="宋体" w:cs="宋体"/>
                <w:color w:val="000000"/>
                <w:sz w:val="21"/>
                <w:szCs w:val="21"/>
                <w:highlight w:val="none"/>
              </w:rPr>
              <w:t xml:space="preserve">,填报单位,填报日期,附属物描述,检查井盖材质,井盖形状,井盖尺寸1,井盖尺寸2,井盖尺寸3,井盖厚度,井室类型,井室长度,井室宽度,井室高度,井筒高度,探测时水深,探测时泥深,探测日期,井底形式,检查井等级,设施状态,是否偏心井,偏心井坐标X(离心井必填),偏心井坐标Y(离心井必填),是否是边界外延点,接入类型,接入描述,边界外延点(上(下)游排水井编号),排放口,权属单位,建设单位,设计单位,施工单位,管理单位,养护单位,建设年代,竣工日期,投运日期,改建日期,备注,项目名称,所属污水系统,所属雨水系统</w:t>
            </w:r>
            <w:r>
              <w:rPr>
                <w:rFonts w:hint="eastAsia" w:ascii="宋体" w:hAnsi="宋体" w:eastAsia="宋体" w:cs="宋体"/>
                <w:color w:val="000000"/>
                <w:sz w:val="21"/>
                <w:szCs w:val="21"/>
                <w:highlight w:val="none"/>
              </w:rPr>
            </w:r>
            <w:r/>
          </w:p>
        </w:tc>
      </w:tr>
      <w:tr>
        <w:trPr>
          <w:trHeight w:val="2530"/>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合流管线</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包含但不限于以下数据字段：排水管标识码,排水系统编码,管道类别,管道长度,所在道路名称,所在政区,起点编码,终</w:t>
            </w:r>
            <w:r>
              <w:rPr>
                <w:rFonts w:hint="eastAsia" w:ascii="宋体" w:hAnsi="宋体" w:eastAsia="宋体" w:cs="宋体"/>
                <w:color w:val="000000"/>
                <w:sz w:val="21"/>
                <w:szCs w:val="21"/>
                <w:highlight w:val="none"/>
              </w:rPr>
              <w:t xml:space="preserve">点编码,起点管底标高,终点管底标高,断面形式,是否倒虹管,断面数据1,断面数据2,断面数据3,断面数据4,断面数据5,管道材质,管道糙率,数据来源,数据获取日期,填报单位,填报日期,压力类型,壁厚,管道衬里材质,衬里厚度,接头形式,连接方式,管道坡度,管理归属,断面面积,是否有自冲洗设备,是否存在雨污混接现象,原始结构状态,敷设方式,非开挖维修方式,设施状态,排放口,权属单位,建设单位,设计单位,施工单位,管理单位,养护单位,建设年代,竣工日期,投运日期,改建日期,备注,项目名称,所属污水系统,所属雨水系统</w:t>
            </w:r>
            <w:r>
              <w:rPr>
                <w:rFonts w:hint="eastAsia" w:ascii="宋体" w:hAnsi="宋体" w:eastAsia="宋体" w:cs="宋体"/>
                <w:color w:val="000000"/>
                <w:sz w:val="21"/>
                <w:szCs w:val="21"/>
                <w:highlight w:val="none"/>
              </w:rPr>
            </w:r>
            <w:r/>
          </w:p>
        </w:tc>
      </w:tr>
      <w:tr>
        <w:trPr>
          <w:trHeight w:val="2530"/>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过河管线</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包含但不限于以下数据字段：排水管标识码,排水系统编码,管道类别,管道长度,所在道路名称,所在政区,起点编码,终</w:t>
            </w:r>
            <w:r>
              <w:rPr>
                <w:rFonts w:hint="eastAsia" w:ascii="宋体" w:hAnsi="宋体" w:eastAsia="宋体" w:cs="宋体"/>
                <w:color w:val="000000"/>
                <w:sz w:val="21"/>
                <w:szCs w:val="21"/>
                <w:highlight w:val="none"/>
              </w:rPr>
              <w:t xml:space="preserve">点编码,起点管底标高,终点管底标高,断面形式,是否倒虹管,断面数据1,断面数据2,断面数据3,断面数据4,断面数据5,管道材质,管道糙率,数据来源,数据获取日期,填报单位,填报日期,压力类型,壁厚,管道衬里材质,衬里厚度,接头形式,连接方式,管道坡度,管理归属,断面面积,是否有自冲洗设备,是否存在雨污混接现象,原始结构状态,敷设方式,非开挖维修方式,设施状态,排放口,权属单位,建设单位,设计单位,施工单位,管理单位,养护单位,建设年代,竣工日期,投运日期,改建日期,备注,项目名称,所属污水系统,所属雨水系统</w:t>
            </w:r>
            <w:r>
              <w:rPr>
                <w:rFonts w:hint="eastAsia" w:ascii="宋体" w:hAnsi="宋体" w:eastAsia="宋体" w:cs="宋体"/>
                <w:color w:val="000000"/>
                <w:sz w:val="21"/>
                <w:szCs w:val="21"/>
                <w:highlight w:val="none"/>
              </w:rPr>
            </w:r>
            <w:r/>
          </w:p>
        </w:tc>
      </w:tr>
      <w:tr>
        <w:trPr>
          <w:trHeight w:val="2530"/>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其他管线</w:t>
            </w:r>
            <w:r>
              <w:rPr>
                <w:rFonts w:hint="eastAsia" w:ascii="宋体" w:hAnsi="宋体" w:eastAsia="宋体" w:cs="宋体"/>
                <w:color w:val="000000"/>
                <w:sz w:val="21"/>
                <w:szCs w:val="21"/>
                <w:highlight w:val="none"/>
                <w:lang w:val="en-US" w:eastAsia="zh-CN" w:bidi="ar-SA"/>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包含但不限于以下数据字段：排水管标识码,排水系统编码,管道类别,管道长度,所在道路名称,所在政区,起点编码,终</w:t>
            </w:r>
            <w:r>
              <w:rPr>
                <w:rFonts w:hint="eastAsia" w:ascii="宋体" w:hAnsi="宋体" w:eastAsia="宋体" w:cs="宋体"/>
                <w:color w:val="000000"/>
                <w:sz w:val="21"/>
                <w:szCs w:val="21"/>
                <w:highlight w:val="none"/>
              </w:rPr>
              <w:t xml:space="preserve">点编码,起点管底标高,终点管底标高,断面形式,是否倒虹管,断面数据1,断面数据2,断面数据3,断面数据4,断面数据5,管道材质,管道糙率,数据来源,数据获取日期,填报单位,填报日期,压力类型,壁厚,管道衬里材质,衬里厚度,接头形式,连接方式,管道坡度,管理归属,断面面积,是否有自冲洗设备,是否存在雨污混接现象,原始结构状态,敷设方式,非开挖维修方式,设施状态,排放口,权属单位,建设单位,设计单位,施工单位,管理单位,养护单位,建设年代,竣工日期,投运日期,改建日期,备注,项目名称,所属污水系统,所属雨水系统</w:t>
            </w:r>
            <w:r>
              <w:rPr>
                <w:rFonts w:hint="eastAsia" w:ascii="宋体" w:hAnsi="宋体" w:eastAsia="宋体" w:cs="宋体"/>
                <w:color w:val="000000"/>
                <w:sz w:val="21"/>
                <w:szCs w:val="21"/>
                <w:highlight w:val="none"/>
                <w:lang w:val="en-US" w:eastAsia="zh-CN" w:bidi="ar-SA"/>
              </w:rPr>
            </w:r>
            <w:r/>
          </w:p>
        </w:tc>
      </w:tr>
      <w:tr>
        <w:trPr>
          <w:trHeight w:val="2975"/>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泵站-旱季截流泵站</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包含但不限于以下数据字段：泵站标识码,排水系统编码,坐标X,坐标Y,泵站名称,泵站地址,泵站分类,泵台数,设计雨水排水能力,设计污水排水能力,前池长,前池宽,前池深,进水池最高</w:t>
            </w:r>
            <w:r>
              <w:rPr>
                <w:rFonts w:hint="eastAsia" w:ascii="宋体" w:hAnsi="宋体" w:eastAsia="宋体" w:cs="宋体"/>
                <w:color w:val="000000"/>
                <w:sz w:val="21"/>
                <w:szCs w:val="21"/>
                <w:highlight w:val="none"/>
              </w:rPr>
              <w:t xml:space="preserve">水位,进水池设计运行水位,进水池最高运行水位,进水池最低运行水位,出水池设计运行水位,出水池最高运行水位,出水池最低运行水位,技术资料文件,数据来源,数据获取日期,填报单位,填报日期,占地面积,服务范围,服务面积,现有雨水排水能力,现有污水排水能力,设计暴雨重现期,主供电源,装机容量,备用电源,辅助设施描述,溢流排放口,联系电话,设施状态,排放口,权属单位,建设单位,设计单位,施工单位,管理单位,养护单位,建设年代,竣工日期,投运日期,改建日期,备注,项目名称,所在政区,地表高程,所属污水系统,所属雨水系统</w:t>
            </w:r>
            <w:r>
              <w:rPr>
                <w:rFonts w:hint="eastAsia" w:ascii="宋体" w:hAnsi="宋体" w:eastAsia="宋体" w:cs="宋体"/>
                <w:color w:val="000000"/>
                <w:sz w:val="21"/>
                <w:szCs w:val="21"/>
                <w:highlight w:val="none"/>
              </w:rPr>
            </w:r>
            <w:r/>
          </w:p>
        </w:tc>
      </w:tr>
      <w:tr>
        <w:trPr>
          <w:trHeight w:val="3015"/>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泵站-污水泵站</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包含但不限于以下数据字段：泵站标识码,排水系统编码,坐标X,坐标Y,泵站名称,泵站地址,泵站分类,泵台数,设计雨水排水能力,设计污水排水能力,前池长,前池宽,前池深,进水池最高</w:t>
            </w:r>
            <w:r>
              <w:rPr>
                <w:rFonts w:hint="eastAsia" w:ascii="宋体" w:hAnsi="宋体" w:eastAsia="宋体" w:cs="宋体"/>
                <w:color w:val="000000"/>
                <w:sz w:val="21"/>
                <w:szCs w:val="21"/>
                <w:highlight w:val="none"/>
              </w:rPr>
              <w:t xml:space="preserve">水位,进水池设计运行水位,进水池最高运行水位,进水池最低运行水位,出水池设计运行水位,出水池最高运行水位,出水池最低运行水位,技术资料文件,数据来源,数据获取日期,填报单位,填报日期,占地面积,服务范围,服务面积,现有雨水排水能力,现有污水排水能力,设计暴雨重现期,主供电源,装机容量,备用电源,辅助设施描述,溢流排放口,联系电话,设施状态,排放口,权属单位,建设单位,设计单位,施工单位,管理单位,养护单位,建设年代,竣工日期,投运日期,改建日期,备注,项目名称,所在政区,地表高程,所属污水系统,所属雨水系统</w:t>
            </w:r>
            <w:r>
              <w:rPr>
                <w:rFonts w:hint="eastAsia" w:ascii="宋体" w:hAnsi="宋体" w:eastAsia="宋体" w:cs="宋体"/>
                <w:color w:val="000000"/>
                <w:sz w:val="21"/>
                <w:szCs w:val="21"/>
                <w:highlight w:val="none"/>
              </w:rPr>
            </w:r>
            <w:r/>
          </w:p>
        </w:tc>
      </w:tr>
      <w:tr>
        <w:trPr>
          <w:trHeight w:val="90"/>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泵站-雨水泵站</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包含但不限于以下数据字段：泵站标识码,排水系统编码,坐标X,坐标Y,泵站名称,泵站地址,泵站分类,泵台数,设计雨水排水能力,设计污水排水能力,前池长,前池宽,前池深,进水池最高</w:t>
            </w:r>
            <w:r>
              <w:rPr>
                <w:rFonts w:hint="eastAsia" w:ascii="宋体" w:hAnsi="宋体" w:eastAsia="宋体" w:cs="宋体"/>
                <w:color w:val="000000"/>
                <w:sz w:val="21"/>
                <w:szCs w:val="21"/>
                <w:highlight w:val="none"/>
              </w:rPr>
              <w:t xml:space="preserve">水位,进水池设计运行水位,进水池最高运行水位,进水池最低运行水位,出水池设计运行水位,出水池最高运行水位,出水池最低运行水位,技术资料文件,数据来源,数据获取日期,填报单位,填报日期,占地面积,服务范围,服务面积,现有雨水排水能力,现有污水排水能力,设计暴雨重现期,主供电源,装机容量,备用电源,辅助设施描述,溢流排放口,联系电话,设施状态,排放口,权属单位,建设单位,设计单位,施工单位,管理单位,养护单位,建设年代,竣工日期,投运日期,改建日期,备注,项目名称,所在政区,地表高程,所属污水系统,所属雨水系统</w:t>
            </w:r>
            <w:r>
              <w:rPr>
                <w:rFonts w:hint="eastAsia" w:ascii="宋体" w:hAnsi="宋体" w:eastAsia="宋体" w:cs="宋体"/>
                <w:color w:val="000000"/>
                <w:sz w:val="21"/>
                <w:szCs w:val="21"/>
                <w:highlight w:val="none"/>
              </w:rPr>
            </w:r>
            <w:r/>
          </w:p>
        </w:tc>
      </w:tr>
      <w:tr>
        <w:trPr>
          <w:trHeight w:val="2965"/>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泵站-其他转输泵</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包含但不限于以下数据字段：泵站标识码,排水系统编码,坐标X,坐标Y,泵站名称,泵站地址,泵站分类,泵台数,设计雨水排水能力,设计污水排水能力,前池长,前池宽,前池深,进水池最高</w:t>
            </w:r>
            <w:r>
              <w:rPr>
                <w:rFonts w:hint="eastAsia" w:ascii="宋体" w:hAnsi="宋体" w:eastAsia="宋体" w:cs="宋体"/>
                <w:color w:val="000000"/>
                <w:sz w:val="21"/>
                <w:szCs w:val="21"/>
                <w:highlight w:val="none"/>
              </w:rPr>
              <w:t xml:space="preserve">水位,进水池设计运行水位,进水池最高运行水位,进水池最低运行水位,出水池设计运行水位,出水池最高运行水位,出水池最低运行水位,技术资料文件,数据来源,数据获取日期,填报单位,填报日期,占地面积,服务范围,服务面积,现有雨水排水能力,现有污水排水能力,设计暴雨重现期,主供电源,装机容量,备用电源,辅助设施描述,溢流排放口,联系电话,设施状态,排放口,权属单位,建设单位,设计单位,施工单位,管理单位,养护单位,建设年代,竣工日期,投运日期,改建日期,备注,项目名称,所在政区,地表高程,所属污水系统,所属雨水系统</w:t>
            </w:r>
            <w:r>
              <w:rPr>
                <w:rFonts w:hint="eastAsia" w:ascii="宋体" w:hAnsi="宋体" w:eastAsia="宋体" w:cs="宋体"/>
                <w:color w:val="000000"/>
                <w:sz w:val="21"/>
                <w:szCs w:val="21"/>
                <w:highlight w:val="none"/>
              </w:rPr>
            </w:r>
            <w:r/>
          </w:p>
        </w:tc>
      </w:tr>
      <w:tr>
        <w:trPr>
          <w:trHeight w:val="1310"/>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闸门数据</w:t>
            </w:r>
            <w:r>
              <w:rPr>
                <w:rFonts w:hint="eastAsia" w:ascii="宋体" w:hAnsi="宋体" w:eastAsia="宋体" w:cs="宋体"/>
                <w:color w:val="000000"/>
                <w:sz w:val="21"/>
                <w:szCs w:val="21"/>
                <w:highlight w:val="none"/>
                <w:lang w:val="en-US" w:eastAsia="zh-CN" w:bidi="ar-SA"/>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包含但不限于以下数据字段：闸门标识码,排水系统编码,坐标X,坐标Y,闸门名称,类别,生产厂家,闸门型号,闸门高程,闸门净高,闸门净宽,数据来源,技术资料文件,数据获取日期,填报单位,填报日期,闸门控制类型,闸门启闭形式,闸门排数,闸门孔数,设施状态,排放口,权属单位,建设单位,设计单位,施工单位,管理单位,养护单位,建设年代,竣工日期,投运日期,改建日期,备注,项目名称,所在区划,地表高程,所属污水系统,所属雨水系统</w:t>
            </w:r>
            <w:r>
              <w:rPr>
                <w:rFonts w:hint="eastAsia" w:ascii="宋体" w:hAnsi="宋体" w:eastAsia="宋体" w:cs="宋体"/>
                <w:color w:val="000000"/>
                <w:sz w:val="21"/>
                <w:szCs w:val="21"/>
                <w:highlight w:val="none"/>
                <w:lang w:val="en-US" w:eastAsia="zh-CN" w:bidi="ar-SA"/>
              </w:rPr>
            </w:r>
            <w:r/>
          </w:p>
        </w:tc>
      </w:tr>
      <w:tr>
        <w:trPr>
          <w:trHeight w:val="1870"/>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阀门数据</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阀门标识码,排水系统编码,坐标X,坐标Y,阀门名称,类别,阀门类型,生产厂家,阀门型号,数据来源,技术资料文件,数据获取日期,填报单位,填报日期,阀门开启转向,阀门开启转数,设施状态,排放口,权属单位,建设单位,设计单位,施工单位,管理单位,养护单位,建设年代,竣工日期,投运日期,改建日期,备注,项目名称,所在区划,地表高程,所属污水系统,所属雨水系统</w:t>
            </w:r>
            <w:r>
              <w:rPr>
                <w:rFonts w:hint="eastAsia" w:ascii="宋体" w:hAnsi="宋体" w:eastAsia="宋体" w:cs="宋体"/>
                <w:color w:val="000000"/>
                <w:sz w:val="21"/>
                <w:szCs w:val="21"/>
                <w:highlight w:val="none"/>
              </w:rPr>
            </w:r>
            <w:r/>
          </w:p>
        </w:tc>
      </w:tr>
      <w:tr>
        <w:trPr>
          <w:trHeight w:val="2238"/>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调蓄设施数据</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包含但不限于以下数据字段：调蓄设施标识码</w:t>
            </w:r>
            <w:r>
              <w:rPr>
                <w:rFonts w:hint="eastAsia" w:ascii="宋体" w:hAnsi="宋体" w:eastAsia="宋体" w:cs="宋体"/>
                <w:color w:val="000000"/>
                <w:sz w:val="21"/>
                <w:szCs w:val="21"/>
                <w:highlight w:val="none"/>
              </w:rPr>
              <w:t xml:space="preserve">,排水系统编码,坐标X,坐标Y,调蓄设施名称,调蓄设施地址,类别,与现有设施的关系,调蓄设施主要功能,进水方式,出水方式,布置形式,最高水位,最低水位,常水位,截流能力,调蓄设施容积,调蓄曲线,调蓄设施底部高程,数据来源,技术资料文件,数据获取日期,填报单位,填报日期,设施描述,调蓄设施材质,调蓄设施地址,调蓄设施类型,蒸发系数,设施状态,排放口,权属单位,建设单位,设计单位,施工单位,管理单位,养护单位,建设年代,竣工日期,投运日期,改建日期,备注,项目名称,所在区划,地表高程,所属污水系统,所属雨水系统</w:t>
            </w:r>
            <w:r>
              <w:rPr>
                <w:rFonts w:hint="eastAsia" w:ascii="宋体" w:hAnsi="宋体" w:eastAsia="宋体" w:cs="宋体"/>
                <w:color w:val="000000"/>
                <w:sz w:val="21"/>
                <w:szCs w:val="21"/>
                <w:highlight w:val="none"/>
              </w:rPr>
            </w:r>
            <w:r/>
          </w:p>
        </w:tc>
      </w:tr>
      <w:tr>
        <w:trPr>
          <w:trHeight w:val="1780"/>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溢流堰数据</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溢流堰标识码,排水系统编码,坐标X,坐标Y,类别,堰顶高程,堰底高程,堰高,堰宽,设计流量,数据来源,技术资料文件,数据获取日期,填报单位,填报日期,溢流堰名称,流量系数,设施状态,排放口,权属单位,建设单位,设计单位,施工单位,管理单位,养护单位,建设年代,竣工日期,投运日期,改建日期,备注,项目名称,所在区划,地表高程,所属污水系统,所属雨水系统</w:t>
            </w:r>
            <w:r>
              <w:rPr>
                <w:rFonts w:hint="eastAsia" w:ascii="宋体" w:hAnsi="宋体" w:eastAsia="宋体" w:cs="宋体"/>
                <w:color w:val="000000"/>
                <w:sz w:val="21"/>
                <w:szCs w:val="21"/>
                <w:highlight w:val="none"/>
              </w:rPr>
            </w:r>
            <w:r/>
          </w:p>
        </w:tc>
      </w:tr>
      <w:tr>
        <w:trPr>
          <w:trHeight w:val="1443"/>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雨污混接点</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排水井编号,街镇名称,所在道路,所在政区,混接类型,混接类别,混接主体,混接点位置,是否已整改,坐标X,坐标Y,是否截流,截流设施标识码,雨污混接点责任单位,调查日期,混接等级,混接原因,周边图,局部图,管道示意图,项目名称,计划改造年份,整改预算,完成预算额,实施单位,混接点排水户编号,接入管径,接入水体</w:t>
            </w:r>
            <w:r>
              <w:rPr>
                <w:rFonts w:hint="eastAsia" w:ascii="宋体" w:hAnsi="宋体" w:eastAsia="宋体" w:cs="宋体"/>
                <w:color w:val="000000"/>
                <w:sz w:val="21"/>
                <w:szCs w:val="21"/>
                <w:highlight w:val="none"/>
              </w:rPr>
            </w:r>
            <w:r/>
          </w:p>
        </w:tc>
      </w:tr>
      <w:tr>
        <w:trPr>
          <w:trHeight w:val="993"/>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雨污混接点水量监测数据</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包含但不限于以下数据字段：排水井编号,监测数据编号,混接情况,上（下）游井（点）号码,天气,测量方法,管径,监测时间,液位,流速,流量,雨量,数据获取时间,填报单位,填报日期,备注</w:t>
            </w:r>
            <w:r>
              <w:rPr>
                <w:rFonts w:hint="eastAsia" w:ascii="宋体" w:hAnsi="宋体" w:eastAsia="宋体" w:cs="宋体"/>
                <w:color w:val="000000"/>
                <w:sz w:val="21"/>
                <w:szCs w:val="21"/>
                <w:highlight w:val="none"/>
              </w:rPr>
            </w:r>
            <w:r/>
          </w:p>
        </w:tc>
      </w:tr>
      <w:tr>
        <w:trPr>
          <w:trHeight w:val="1120"/>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雨污混接点水质监测数据</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检测数据编号,排水井编码,采样时间,水温,pH值,溶解氧,五日生化需氧量,化学需氧量,总有机碳,悬浮物,氨氮,总氮,总磷,总镉,总铬,总汞,总铅,总砷,总铜,总锌,水质检测单位,数据获取时间,填报单位,填报日期,备注</w:t>
            </w:r>
            <w:r>
              <w:rPr>
                <w:rFonts w:hint="eastAsia" w:ascii="宋体" w:hAnsi="宋体" w:eastAsia="宋体" w:cs="宋体"/>
                <w:color w:val="000000"/>
                <w:sz w:val="21"/>
                <w:szCs w:val="21"/>
                <w:highlight w:val="none"/>
              </w:rPr>
            </w:r>
            <w:r/>
          </w:p>
        </w:tc>
      </w:tr>
      <w:tr>
        <w:trPr>
          <w:trHeight w:val="1585"/>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管渠内窥检测</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作业编号,排水管、排水渠编码,检测时间,检测单位,检测人,检测单位联系方式,检测方法,检测方向,封堵情况,淤泥厚度,功能性缺陷类型,功能性缺陷长度,功能性缺陷位置,功能性缺陷等级,结构性缺陷类型,结构性缺陷长度,结构性缺陷位置,结构性缺陷等级,修复指数RI,养护指数MI,缺陷描述,影像文件名,填报单位,填报日期,备注,项目名称,缺陷照片,行政区划</w:t>
            </w:r>
            <w:r>
              <w:rPr>
                <w:rFonts w:hint="eastAsia" w:ascii="宋体" w:hAnsi="宋体" w:eastAsia="宋体" w:cs="宋体"/>
                <w:color w:val="000000"/>
                <w:sz w:val="21"/>
                <w:szCs w:val="21"/>
                <w:highlight w:val="none"/>
              </w:rPr>
            </w:r>
            <w:r/>
          </w:p>
        </w:tc>
      </w:tr>
      <w:tr>
        <w:trPr>
          <w:trHeight w:val="1585"/>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污水处理厂</w:t>
            </w:r>
            <w:r>
              <w:rPr>
                <w:rFonts w:hint="eastAsia" w:ascii="宋体" w:hAnsi="宋体" w:eastAsia="宋体" w:cs="宋体"/>
                <w:color w:val="000000"/>
                <w:sz w:val="21"/>
                <w:szCs w:val="21"/>
                <w:highlight w:val="none"/>
                <w:lang w:val="en-US" w:eastAsia="zh-CN" w:bidi="ar-SA"/>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包含但不限于以下数据字段：污水处理厂标识码,排水系统编码,坐标X,坐标Y,所在区划,污水处理设施类型,污水处理厂名称,污水处理厂地址,建成日期,污水处理级别,年耗电量,污水处理方法,受纳水体编码,污水设计处理规模,污水处理工艺,污水运行负荷率,雨水设计处理规模,雨水处理工艺,污泥设计处理规模,污泥运行负荷率,污泥处理工艺,污泥处置方式,水泵台数,数据来源,数据获取日期,填报单位,填报日期,备注,项目名称</w:t>
            </w:r>
            <w:r>
              <w:rPr>
                <w:rFonts w:hint="eastAsia" w:ascii="宋体" w:hAnsi="宋体" w:eastAsia="宋体" w:cs="宋体"/>
                <w:color w:val="000000"/>
                <w:sz w:val="21"/>
                <w:szCs w:val="21"/>
                <w:highlight w:val="none"/>
                <w:lang w:val="en-US" w:eastAsia="zh-CN" w:bidi="ar-SA"/>
              </w:rPr>
            </w:r>
            <w:r/>
          </w:p>
        </w:tc>
      </w:tr>
      <w:tr>
        <w:trPr>
          <w:trHeight w:val="1903"/>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污水处理厂-排水户自建</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但不限于以下数据字段：污水处理厂标识码,排水系统编码,坐标X,坐标Y,所在区划,污水处理设施类型,污水处理厂名称,污水处理厂地址,建成日期,污水处理级别,年耗电量,污水处理方法,受纳水体编码,污水设计处理规模,污水处理工艺,污水运行负荷率,雨水设计处理规模,雨水处理工艺,污泥设计处理规模,污泥运行负荷率,污泥处理工艺,污泥处置方式,水泵台数,数据来源,数据获取日期,填报单位,填报日期,备注,项目名称</w:t>
            </w:r>
            <w:r>
              <w:rPr>
                <w:rFonts w:hint="eastAsia" w:ascii="宋体" w:hAnsi="宋体" w:eastAsia="宋体" w:cs="宋体"/>
                <w:color w:val="000000"/>
                <w:sz w:val="21"/>
                <w:szCs w:val="21"/>
                <w:highlight w:val="none"/>
              </w:rPr>
            </w:r>
            <w:r/>
          </w:p>
        </w:tc>
      </w:tr>
      <w:tr>
        <w:trPr>
          <w:trHeight w:val="323"/>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在建项目-在建项目</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在建项目全周期档案建立，历史数据整理入库</w:t>
            </w:r>
            <w:r>
              <w:rPr>
                <w:rFonts w:hint="eastAsia" w:ascii="宋体" w:hAnsi="宋体" w:eastAsia="宋体" w:cs="宋体"/>
                <w:color w:val="000000"/>
                <w:sz w:val="21"/>
                <w:szCs w:val="21"/>
                <w:highlight w:val="none"/>
              </w:rPr>
            </w:r>
            <w:r/>
          </w:p>
        </w:tc>
      </w:tr>
      <w:tr>
        <w:trPr>
          <w:trHeight w:val="438"/>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历史积涝点</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待解决、已解决、解决中状态更新，历史记录整理入库</w:t>
            </w:r>
            <w:r>
              <w:rPr>
                <w:rFonts w:hint="eastAsia" w:ascii="宋体" w:hAnsi="宋体" w:eastAsia="宋体" w:cs="宋体"/>
                <w:color w:val="000000"/>
                <w:sz w:val="21"/>
                <w:szCs w:val="21"/>
                <w:highlight w:val="none"/>
              </w:rPr>
            </w:r>
            <w:r/>
          </w:p>
        </w:tc>
      </w:tr>
      <w:tr>
        <w:trPr>
          <w:trHeight w:val="488"/>
        </w:trPr>
        <w:tc>
          <w:tcPr>
            <w:tcW w:w="179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污水冒溢点</w:t>
            </w:r>
            <w:r>
              <w:rPr>
                <w:rFonts w:hint="eastAsia" w:ascii="宋体" w:hAnsi="宋体" w:eastAsia="宋体" w:cs="宋体"/>
                <w:color w:val="000000"/>
                <w:sz w:val="21"/>
                <w:szCs w:val="21"/>
                <w:highlight w:val="none"/>
              </w:rPr>
            </w:r>
            <w:r/>
          </w:p>
        </w:tc>
        <w:tc>
          <w:tcPr>
            <w:tcW w:w="7335" w:type="dxa"/>
            <w:vAlign w:val="center"/>
            <w:textDirection w:val="lrTb"/>
            <w:noWrap w:val="false"/>
          </w:tcPr>
          <w:p>
            <w:pPr>
              <w:pStyle w:val="973"/>
              <w:ind w:left="0" w:firstLine="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待解决、已解决、解决中状态更新，历史记录整理入库</w:t>
            </w:r>
            <w:r>
              <w:rPr>
                <w:rFonts w:hint="eastAsia" w:ascii="宋体" w:hAnsi="宋体" w:eastAsia="宋体" w:cs="宋体"/>
                <w:color w:val="000000"/>
                <w:sz w:val="21"/>
                <w:szCs w:val="21"/>
                <w:highlight w:val="none"/>
              </w:rPr>
            </w:r>
            <w:r/>
          </w:p>
        </w:tc>
      </w:tr>
    </w:tbl>
    <w:p>
      <w:pPr>
        <w:pStyle w:val="973"/>
        <w:ind w:left="0" w:firstLine="420"/>
        <w:jc w:val="both"/>
        <w:keepLines/>
        <w:keepNext/>
        <w:pageBreakBefore w:val="0"/>
        <w:spacing w:before="0" w:after="65" w:line="440" w:lineRule="exact"/>
        <w:widowControl/>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bCs/>
          <w:sz w:val="21"/>
          <w:szCs w:val="21"/>
          <w:highlight w:val="none"/>
          <w:lang w:val="en-US" w:eastAsia="zh-CN" w:bidi="ar-SA"/>
        </w:rPr>
        <w:t xml:space="preserve">（4）数据分析模块</w:t>
      </w:r>
      <w:r>
        <w:rPr>
          <w:rFonts w:hint="eastAsia" w:ascii="宋体" w:hAnsi="宋体" w:eastAsia="宋体" w:cs="宋体"/>
          <w:b w:val="0"/>
          <w:bCs/>
          <w:sz w:val="21"/>
          <w:szCs w:val="21"/>
          <w:highlight w:val="none"/>
          <w:lang w:val="en-US" w:eastAsia="zh-CN" w:bidi="ar-SA"/>
        </w:rPr>
      </w:r>
      <w:r/>
    </w:p>
    <w:tbl>
      <w:tblPr>
        <w:tblW w:w="9238" w:type="dxa"/>
        <w:tblInd w:w="-1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539"/>
        <w:gridCol w:w="1439"/>
        <w:gridCol w:w="1440"/>
        <w:gridCol w:w="4820"/>
      </w:tblGrid>
      <w:tr>
        <w:trPr>
          <w:trHeight w:val="337"/>
        </w:trPr>
        <w:tc>
          <w:tcPr>
            <w:tcW w:w="1539"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一级功能</w:t>
            </w:r>
            <w:r>
              <w:rPr>
                <w:rFonts w:hint="eastAsia" w:ascii="宋体" w:hAnsi="宋体" w:eastAsia="宋体" w:cs="宋体"/>
                <w:b/>
                <w:bCs/>
                <w:color w:val="000000"/>
                <w:sz w:val="21"/>
                <w:szCs w:val="21"/>
                <w:highlight w:val="none"/>
              </w:rPr>
            </w:r>
            <w:r/>
          </w:p>
        </w:tc>
        <w:tc>
          <w:tcPr>
            <w:tcW w:w="1439"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二级功能</w:t>
            </w:r>
            <w:r>
              <w:rPr>
                <w:rFonts w:hint="eastAsia" w:ascii="宋体" w:hAnsi="宋体" w:eastAsia="宋体" w:cs="宋体"/>
                <w:b/>
                <w:bCs/>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三级功能</w:t>
            </w:r>
            <w:r>
              <w:rPr>
                <w:rFonts w:hint="eastAsia" w:ascii="宋体" w:hAnsi="宋体" w:eastAsia="宋体" w:cs="宋体"/>
                <w:b/>
                <w:bCs/>
                <w:color w:val="000000"/>
                <w:sz w:val="21"/>
                <w:szCs w:val="21"/>
                <w:highlight w:val="none"/>
              </w:rPr>
            </w:r>
            <w:r/>
          </w:p>
        </w:tc>
        <w:tc>
          <w:tcPr>
            <w:tcW w:w="482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详细描述</w:t>
            </w:r>
            <w:r>
              <w:rPr>
                <w:rFonts w:hint="eastAsia" w:ascii="宋体" w:hAnsi="宋体" w:eastAsia="宋体" w:cs="宋体"/>
                <w:b/>
                <w:bCs/>
                <w:color w:val="000000"/>
                <w:sz w:val="21"/>
                <w:szCs w:val="21"/>
                <w:highlight w:val="none"/>
              </w:rPr>
            </w:r>
            <w:r/>
          </w:p>
        </w:tc>
      </w:tr>
      <w:tr>
        <w:trPr>
          <w:trHeight w:val="832"/>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排水分区管理模块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雨水分区管理</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雨水分区GIS展示</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展示总体雨水分区分布情况，可查看雨水分区汇总信息，如管线长度、分区总数、泵站数等。</w:t>
            </w:r>
            <w:r>
              <w:rPr>
                <w:rFonts w:hint="eastAsia" w:ascii="宋体" w:hAnsi="宋体" w:eastAsia="宋体" w:cs="宋体"/>
                <w:color w:val="000000"/>
                <w:sz w:val="21"/>
                <w:szCs w:val="21"/>
                <w:highlight w:val="none"/>
              </w:rPr>
            </w:r>
            <w:r/>
          </w:p>
        </w:tc>
      </w:tr>
      <w:tr>
        <w:trPr>
          <w:trHeight w:val="679"/>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排水分区管理模块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雨水分区管理</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雨水分区列表</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展示雨水分区各类数据情况，实现分区增删改查等管理</w:t>
            </w:r>
            <w:r>
              <w:rPr>
                <w:rFonts w:hint="eastAsia" w:ascii="宋体" w:hAnsi="宋体" w:eastAsia="宋体" w:cs="宋体"/>
                <w:color w:val="000000"/>
                <w:sz w:val="21"/>
                <w:szCs w:val="21"/>
                <w:highlight w:val="none"/>
              </w:rPr>
            </w:r>
            <w:r/>
          </w:p>
        </w:tc>
      </w:tr>
      <w:tr>
        <w:trPr>
          <w:trHeight w:val="664"/>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排水分区管理模块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雨水分区管理</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雨水分区详情</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某个分区的的详情，如分区面积、管网长度、排口、泵站等信息</w:t>
            </w:r>
            <w:r>
              <w:rPr>
                <w:rFonts w:hint="eastAsia" w:ascii="宋体" w:hAnsi="宋体" w:eastAsia="宋体" w:cs="宋体"/>
                <w:color w:val="000000"/>
                <w:sz w:val="21"/>
                <w:szCs w:val="21"/>
                <w:highlight w:val="none"/>
              </w:rPr>
            </w:r>
            <w:r/>
          </w:p>
        </w:tc>
      </w:tr>
      <w:tr>
        <w:trPr>
          <w:trHeight w:val="761"/>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排水分区管理模块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污水分区管理</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污水分区GIS展示</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展示总体污水分区分布情况，可查看污水分区汇总信息，如管线长度、分区总数、泵站数。</w:t>
            </w:r>
            <w:r>
              <w:rPr>
                <w:rFonts w:hint="eastAsia" w:ascii="宋体" w:hAnsi="宋体" w:eastAsia="宋体" w:cs="宋体"/>
                <w:color w:val="000000"/>
                <w:sz w:val="21"/>
                <w:szCs w:val="21"/>
                <w:highlight w:val="none"/>
              </w:rPr>
            </w:r>
            <w:r/>
          </w:p>
        </w:tc>
      </w:tr>
      <w:tr>
        <w:trPr>
          <w:trHeight w:val="784"/>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排水分区管理模块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污水分区管理</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污水分区列表</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展示污水分区各类数据情况，实现分区增删改查等管理</w:t>
            </w:r>
            <w:r>
              <w:rPr>
                <w:rFonts w:hint="eastAsia" w:ascii="宋体" w:hAnsi="宋体" w:eastAsia="宋体" w:cs="宋体"/>
                <w:color w:val="000000"/>
                <w:sz w:val="21"/>
                <w:szCs w:val="21"/>
                <w:highlight w:val="none"/>
              </w:rPr>
            </w:r>
            <w:r/>
          </w:p>
        </w:tc>
      </w:tr>
      <w:tr>
        <w:trPr>
          <w:trHeight w:val="811"/>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排水分区管理模块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污水分区管理</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污水分区详情</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展示某个污水分区的详情，展示包括分区面积、管网长度、排口、泵站等信息</w:t>
            </w:r>
            <w:r>
              <w:rPr>
                <w:rFonts w:hint="eastAsia" w:ascii="宋体" w:hAnsi="宋体" w:eastAsia="宋体" w:cs="宋体"/>
                <w:color w:val="000000"/>
                <w:sz w:val="21"/>
                <w:szCs w:val="21"/>
                <w:highlight w:val="none"/>
              </w:rPr>
            </w:r>
            <w:r/>
          </w:p>
        </w:tc>
      </w:tr>
      <w:tr>
        <w:trPr>
          <w:trHeight w:val="930"/>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排水分区管理模块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上下游监测点位关联展示</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综合展示</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提供上下游设备及管网连通性分析，对关键数据进行展示</w:t>
            </w:r>
            <w:r>
              <w:rPr>
                <w:rFonts w:hint="eastAsia" w:ascii="宋体" w:hAnsi="宋体" w:eastAsia="宋体" w:cs="宋体"/>
                <w:color w:val="000000"/>
                <w:sz w:val="21"/>
                <w:szCs w:val="21"/>
                <w:highlight w:val="none"/>
              </w:rPr>
            </w:r>
            <w:r/>
          </w:p>
        </w:tc>
      </w:tr>
      <w:tr>
        <w:trPr>
          <w:trHeight w:val="930"/>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排水分区管理模块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上下游监测点位关联展示</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向上1级溯源展示</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根据管网流向，向上对节点分支进行动态溯源展示</w:t>
            </w:r>
            <w:r>
              <w:rPr>
                <w:rFonts w:hint="eastAsia" w:ascii="宋体" w:hAnsi="宋体" w:eastAsia="宋体" w:cs="宋体"/>
                <w:color w:val="000000"/>
                <w:sz w:val="21"/>
                <w:szCs w:val="21"/>
                <w:highlight w:val="none"/>
              </w:rPr>
            </w:r>
            <w:r/>
          </w:p>
        </w:tc>
      </w:tr>
      <w:tr>
        <w:trPr>
          <w:trHeight w:val="930"/>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排水分区管理模块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上下游监测点位关联展示</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向上2级溯源展示</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根据管网流向，向上对节点分支进行动态溯源展示</w:t>
            </w:r>
            <w:r>
              <w:rPr>
                <w:rFonts w:hint="eastAsia" w:ascii="宋体" w:hAnsi="宋体" w:eastAsia="宋体" w:cs="宋体"/>
                <w:color w:val="000000"/>
                <w:sz w:val="21"/>
                <w:szCs w:val="21"/>
                <w:highlight w:val="none"/>
              </w:rPr>
            </w:r>
            <w:r/>
          </w:p>
        </w:tc>
      </w:tr>
      <w:tr>
        <w:trPr>
          <w:trHeight w:val="775"/>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排水分区管理模块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上下游监测点位关联展示</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向上3级溯源展示</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根据管网流向，向上对节点分支进行动态溯源展示</w:t>
            </w:r>
            <w:r>
              <w:rPr>
                <w:rFonts w:hint="eastAsia" w:ascii="宋体" w:hAnsi="宋体" w:eastAsia="宋体" w:cs="宋体"/>
                <w:color w:val="000000"/>
                <w:sz w:val="21"/>
                <w:szCs w:val="21"/>
                <w:highlight w:val="none"/>
              </w:rPr>
            </w:r>
            <w:r/>
          </w:p>
        </w:tc>
      </w:tr>
      <w:tr>
        <w:trPr>
          <w:trHeight w:val="1036"/>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数据信息管理</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监测设备-阈值设定-电量报警</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监测指标超出单位设定的阈值时，系统自动报警，进入警情管理流程。</w:t>
            </w:r>
            <w:r>
              <w:rPr>
                <w:rFonts w:hint="eastAsia" w:ascii="宋体" w:hAnsi="宋体" w:eastAsia="宋体" w:cs="宋体"/>
                <w:color w:val="000000"/>
                <w:sz w:val="21"/>
                <w:szCs w:val="21"/>
                <w:highlight w:val="none"/>
              </w:rPr>
            </w:r>
            <w:r/>
          </w:p>
        </w:tc>
      </w:tr>
      <w:tr>
        <w:trPr>
          <w:trHeight w:val="991"/>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数据信息管理</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监测设备-阈值设定-通讯中断</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监测指标超出单位设定的阈值时，系统自动报警，进入警情管理流程。</w:t>
            </w:r>
            <w:r>
              <w:rPr>
                <w:rFonts w:hint="eastAsia" w:ascii="宋体" w:hAnsi="宋体" w:eastAsia="宋体" w:cs="宋体"/>
                <w:color w:val="000000"/>
                <w:sz w:val="21"/>
                <w:szCs w:val="21"/>
                <w:highlight w:val="none"/>
              </w:rPr>
            </w:r>
            <w:r/>
          </w:p>
        </w:tc>
      </w:tr>
      <w:tr>
        <w:trPr>
          <w:trHeight w:val="991"/>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数据信息管理</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监测设备-阈值设定-液位预警</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监测指标超出单位设定的阈值时，系统自动报警，进入警情管理流程。</w:t>
            </w:r>
            <w:r>
              <w:rPr>
                <w:rFonts w:hint="eastAsia" w:ascii="宋体" w:hAnsi="宋体" w:eastAsia="宋体" w:cs="宋体"/>
                <w:color w:val="000000"/>
                <w:sz w:val="21"/>
                <w:szCs w:val="21"/>
                <w:highlight w:val="none"/>
              </w:rPr>
            </w:r>
            <w:r/>
          </w:p>
        </w:tc>
      </w:tr>
      <w:tr>
        <w:trPr>
          <w:trHeight w:val="976"/>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数据信息管理</w:t>
            </w:r>
            <w:r>
              <w:rPr>
                <w:rFonts w:hint="eastAsia" w:ascii="宋体" w:hAnsi="宋体" w:eastAsia="宋体" w:cs="宋体"/>
                <w:color w:val="000000"/>
                <w:sz w:val="21"/>
                <w:szCs w:val="21"/>
                <w:highlight w:val="none"/>
              </w:rPr>
            </w:r>
            <w:r/>
          </w:p>
        </w:tc>
        <w:tc>
          <w:tcPr>
            <w:tcW w:w="144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监测设备-阈值设定-液位溢流</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监测指标超出单位设定的阈值时，系统自动报警，进入警情管理流程。</w:t>
            </w:r>
            <w:r>
              <w:rPr>
                <w:rFonts w:hint="eastAsia" w:ascii="宋体" w:hAnsi="宋体" w:eastAsia="宋体" w:cs="宋体"/>
                <w:color w:val="000000"/>
                <w:sz w:val="21"/>
                <w:szCs w:val="21"/>
                <w:highlight w:val="none"/>
              </w:rPr>
            </w:r>
            <w:r/>
          </w:p>
        </w:tc>
      </w:tr>
      <w:tr>
        <w:trPr>
          <w:trHeight w:val="946"/>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数据信息管理</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监测设备-阈值设定-液位报警</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监测指标超出单位设定的阈值时，系统自动报警，进入警情管理流程。</w:t>
            </w:r>
            <w:r>
              <w:rPr>
                <w:rFonts w:hint="eastAsia" w:ascii="宋体" w:hAnsi="宋体" w:eastAsia="宋体" w:cs="宋体"/>
                <w:color w:val="000000"/>
                <w:sz w:val="21"/>
                <w:szCs w:val="21"/>
                <w:highlight w:val="none"/>
              </w:rPr>
            </w:r>
            <w:r/>
          </w:p>
        </w:tc>
      </w:tr>
      <w:tr>
        <w:trPr>
          <w:trHeight w:val="1663"/>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动态监测与预警管理</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拟报警数据展示</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管网运行状态监测、泵站运行状态监测、易涝点监测、雨量监测等。排水管网监测设备类型包括雨量计、液位计、流量计等，在对每个监测点位进行分析诊断前需对各类历史监测数据进行预处理，识别雨天、旱天，并对监测数据去毛刺处理。</w:t>
            </w:r>
            <w:r>
              <w:rPr>
                <w:rFonts w:hint="eastAsia" w:ascii="宋体" w:hAnsi="宋体" w:eastAsia="宋体" w:cs="宋体"/>
                <w:color w:val="000000"/>
                <w:sz w:val="21"/>
                <w:szCs w:val="21"/>
                <w:highlight w:val="none"/>
              </w:rPr>
            </w:r>
            <w:r/>
          </w:p>
        </w:tc>
      </w:tr>
      <w:tr>
        <w:trPr>
          <w:trHeight w:val="827"/>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动态监测与预警管理</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预警审核管理</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在线传输的数据超阈值、数值为空、数值超仪器量程等情况发生时，系统将进行可视化预警审核提醒</w:t>
            </w:r>
            <w:r>
              <w:rPr>
                <w:rFonts w:hint="eastAsia" w:ascii="宋体" w:hAnsi="宋体" w:eastAsia="宋体" w:cs="宋体"/>
                <w:color w:val="000000"/>
                <w:sz w:val="21"/>
                <w:szCs w:val="21"/>
                <w:highlight w:val="none"/>
              </w:rPr>
            </w:r>
            <w:r/>
          </w:p>
        </w:tc>
      </w:tr>
      <w:tr>
        <w:trPr>
          <w:trHeight w:val="826"/>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动态监测与预警管理</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预警阈值管理</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可根据各行业的污水排放标准、排水工况及相关规定设定预警审核阈值</w:t>
            </w:r>
            <w:r>
              <w:rPr>
                <w:rFonts w:hint="eastAsia" w:ascii="宋体" w:hAnsi="宋体" w:eastAsia="宋体" w:cs="宋体"/>
                <w:color w:val="000000"/>
                <w:sz w:val="21"/>
                <w:szCs w:val="21"/>
                <w:highlight w:val="none"/>
              </w:rPr>
            </w:r>
            <w:r/>
          </w:p>
        </w:tc>
      </w:tr>
      <w:tr>
        <w:trPr>
          <w:trHeight w:val="1040"/>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动态监测与预警管理</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预警审核统计分析</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按照报警时间展示预警审核事件区域分布统计情况、预警审核事件类型统计情况、预警审核事件管网类型分布情况、预警审核事件级别统计情况</w:t>
            </w:r>
            <w:r>
              <w:rPr>
                <w:rFonts w:hint="eastAsia" w:ascii="宋体" w:hAnsi="宋体" w:eastAsia="宋体" w:cs="宋体"/>
                <w:color w:val="000000"/>
                <w:sz w:val="21"/>
                <w:szCs w:val="21"/>
                <w:highlight w:val="none"/>
              </w:rPr>
            </w:r>
            <w:r/>
          </w:p>
        </w:tc>
      </w:tr>
      <w:tr>
        <w:trPr>
          <w:trHeight w:val="90"/>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动态监测与预警管理</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预警审核台账导出</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支持多条件查询，导出预警审核台账</w:t>
            </w:r>
            <w:r>
              <w:rPr>
                <w:rFonts w:hint="eastAsia" w:ascii="宋体" w:hAnsi="宋体" w:eastAsia="宋体" w:cs="宋体"/>
                <w:color w:val="000000"/>
                <w:sz w:val="21"/>
                <w:szCs w:val="21"/>
                <w:highlight w:val="none"/>
              </w:rPr>
            </w:r>
            <w:r/>
          </w:p>
        </w:tc>
      </w:tr>
      <w:tr>
        <w:trPr>
          <w:trHeight w:val="766"/>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动态预警研判</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排水管网雨污混接预警</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按照预警编号、预警等级、预警状态、预警时间查询相关城市管网雨污混接预警信息</w:t>
            </w:r>
            <w:r>
              <w:rPr>
                <w:rFonts w:hint="eastAsia" w:ascii="宋体" w:hAnsi="宋体" w:eastAsia="宋体" w:cs="宋体"/>
                <w:color w:val="000000"/>
                <w:sz w:val="21"/>
                <w:szCs w:val="21"/>
                <w:highlight w:val="none"/>
              </w:rPr>
            </w:r>
            <w:r/>
          </w:p>
        </w:tc>
      </w:tr>
      <w:tr>
        <w:trPr>
          <w:trHeight w:val="836"/>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动态预警研判</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排水管网淤堵预警</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按照预警编号、预警等级、预警状态、预警时间查询相关管网淤堵预警信息</w:t>
            </w:r>
            <w:r>
              <w:rPr>
                <w:rFonts w:hint="eastAsia" w:ascii="宋体" w:hAnsi="宋体" w:eastAsia="宋体" w:cs="宋体"/>
                <w:color w:val="000000"/>
                <w:sz w:val="21"/>
                <w:szCs w:val="21"/>
                <w:highlight w:val="none"/>
              </w:rPr>
            </w:r>
            <w:r/>
          </w:p>
        </w:tc>
      </w:tr>
      <w:tr>
        <w:trPr>
          <w:trHeight w:val="731"/>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动态预警研判</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排水管网溢流预警</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按照预警编号、预警等级、预警状态、预警时间查询相关管网溢流预警信息</w:t>
            </w:r>
            <w:r>
              <w:rPr>
                <w:rFonts w:hint="eastAsia" w:ascii="宋体" w:hAnsi="宋体" w:eastAsia="宋体" w:cs="宋体"/>
                <w:color w:val="000000"/>
                <w:sz w:val="21"/>
                <w:szCs w:val="21"/>
                <w:highlight w:val="none"/>
              </w:rPr>
            </w:r>
            <w:r/>
          </w:p>
        </w:tc>
      </w:tr>
      <w:tr>
        <w:trPr>
          <w:trHeight w:val="946"/>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动态预警研判</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排水管网渗漏预警</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按照预警编号、预警等级、预警状态、预警时间查询相关管网渗漏预警信息</w:t>
            </w:r>
            <w:r>
              <w:rPr>
                <w:rFonts w:hint="eastAsia" w:ascii="宋体" w:hAnsi="宋体" w:eastAsia="宋体" w:cs="宋体"/>
                <w:color w:val="000000"/>
                <w:sz w:val="21"/>
                <w:szCs w:val="21"/>
                <w:highlight w:val="none"/>
              </w:rPr>
            </w:r>
            <w:r/>
          </w:p>
        </w:tc>
      </w:tr>
      <w:tr>
        <w:trPr>
          <w:trHeight w:val="1100"/>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动态预警研判</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排水预警统计分析</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基于前端监测数据的，对排水监测数据进行多样化的数据查询方式和统计结果输出，进行同一点位不同时间段数据比较、点位之间横向比较</w:t>
            </w:r>
            <w:r>
              <w:rPr>
                <w:rFonts w:hint="eastAsia" w:ascii="宋体" w:hAnsi="宋体" w:eastAsia="宋体" w:cs="宋体"/>
                <w:color w:val="000000"/>
                <w:sz w:val="21"/>
                <w:szCs w:val="21"/>
                <w:highlight w:val="none"/>
              </w:rPr>
            </w:r>
            <w:r/>
          </w:p>
        </w:tc>
      </w:tr>
      <w:tr>
        <w:trPr>
          <w:trHeight w:val="989"/>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风险数据统计与分析</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风险数据统计分析</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选取多设备进、多时段关联分析，结合设备监测运行曲线，可有效识别管网运行过程中出现的雨污混接、淤积、渗漏问题</w:t>
            </w:r>
            <w:r>
              <w:rPr>
                <w:rFonts w:hint="eastAsia" w:ascii="宋体" w:hAnsi="宋体" w:eastAsia="宋体" w:cs="宋体"/>
                <w:color w:val="000000"/>
                <w:sz w:val="21"/>
                <w:szCs w:val="21"/>
                <w:highlight w:val="none"/>
              </w:rPr>
            </w:r>
            <w:r/>
          </w:p>
        </w:tc>
      </w:tr>
      <w:tr>
        <w:trPr>
          <w:trHeight w:val="937"/>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风险数据统计与分析</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上下游风险数据关联分析</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通过选取某段管网，实现该管网拓扑结构的上下游分析，结合管网监测数据可以及时发现管网问题的源头</w:t>
            </w:r>
            <w:r>
              <w:rPr>
                <w:rFonts w:hint="eastAsia" w:ascii="宋体" w:hAnsi="宋体" w:eastAsia="宋体" w:cs="宋体"/>
                <w:color w:val="000000"/>
                <w:sz w:val="21"/>
                <w:szCs w:val="21"/>
                <w:highlight w:val="none"/>
              </w:rPr>
            </w:r>
            <w:r/>
          </w:p>
        </w:tc>
      </w:tr>
      <w:tr>
        <w:trPr>
          <w:trHeight w:val="979"/>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排水动态预警模块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实时监测报警预警GIS一张图</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监测预警信息进行汇聚展示</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监测预警信息进行汇聚展示，支持按照雨水及污水分区进行查看，支持按照片区进行查看，支持查看详细预警信息，支持数据导出</w:t>
            </w:r>
            <w:r>
              <w:rPr>
                <w:rFonts w:hint="eastAsia" w:ascii="宋体" w:hAnsi="宋体" w:eastAsia="宋体" w:cs="宋体"/>
                <w:color w:val="000000"/>
                <w:sz w:val="21"/>
                <w:szCs w:val="21"/>
                <w:highlight w:val="none"/>
              </w:rPr>
            </w:r>
            <w:r/>
          </w:p>
        </w:tc>
      </w:tr>
      <w:tr>
        <w:trPr>
          <w:trHeight w:val="997"/>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排水管网风险诊断模块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排水管网综合风险评估分析</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排水管网综合风险统计分析</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查看该管网具体风险情况，在评估分析可查看各个风险具体的评估结果、评估依据以及相应的改进建议措施</w:t>
            </w:r>
            <w:r>
              <w:rPr>
                <w:rFonts w:hint="eastAsia" w:ascii="宋体" w:hAnsi="宋体" w:eastAsia="宋体" w:cs="宋体"/>
                <w:color w:val="000000"/>
                <w:sz w:val="21"/>
                <w:szCs w:val="21"/>
                <w:highlight w:val="none"/>
              </w:rPr>
            </w:r>
            <w:r/>
          </w:p>
        </w:tc>
      </w:tr>
      <w:tr>
        <w:trPr>
          <w:trHeight w:val="984"/>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排水管网风险诊断模块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排水管网综合风险评估分析</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排水管网综合风险诊断</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对分流制管网进行液、流量、水质结合雨量信息进行智能识别，解决污水管网高水位、污水入厂低浓度存在入流入渗的问题</w:t>
            </w:r>
            <w:r>
              <w:rPr>
                <w:rFonts w:hint="eastAsia" w:ascii="宋体" w:hAnsi="宋体" w:eastAsia="宋体" w:cs="宋体"/>
                <w:color w:val="000000"/>
                <w:sz w:val="21"/>
                <w:szCs w:val="21"/>
                <w:highlight w:val="none"/>
              </w:rPr>
            </w:r>
            <w:r/>
          </w:p>
        </w:tc>
      </w:tr>
      <w:tr>
        <w:trPr>
          <w:trHeight w:val="820"/>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排水管网风险诊断模块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管网雨污混接风险诊断分析</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排水管网雨污混接诊断</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展示管网雨污混接程度风险，支持进行多方面筛选查询</w:t>
            </w:r>
            <w:r>
              <w:rPr>
                <w:rFonts w:hint="eastAsia" w:ascii="宋体" w:hAnsi="宋体" w:eastAsia="宋体" w:cs="宋体"/>
                <w:color w:val="000000"/>
                <w:sz w:val="21"/>
                <w:szCs w:val="21"/>
                <w:highlight w:val="none"/>
              </w:rPr>
            </w:r>
            <w:r/>
          </w:p>
        </w:tc>
      </w:tr>
      <w:tr>
        <w:trPr>
          <w:trHeight w:val="911"/>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排水管网风险诊断模块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管网雨污混接风险诊断分析</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排水管网雨污混接风险详情分析</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查看该管网雨污混接风险评估详细，包括基本信息、管线信息、评估详情、评估分析</w:t>
            </w:r>
            <w:r>
              <w:rPr>
                <w:rFonts w:hint="eastAsia" w:ascii="宋体" w:hAnsi="宋体" w:eastAsia="宋体" w:cs="宋体"/>
                <w:color w:val="000000"/>
                <w:sz w:val="21"/>
                <w:szCs w:val="21"/>
                <w:highlight w:val="none"/>
              </w:rPr>
            </w:r>
            <w:r/>
          </w:p>
        </w:tc>
      </w:tr>
      <w:tr>
        <w:trPr>
          <w:trHeight w:val="959"/>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排水管网风险诊断模块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管网淤积风险诊断分析</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排水管网淤积风险诊断分析</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展示管网淤积风险，支持进行多方面筛选查询，包括管线编号、管线类别、所属区域、所在道路、风险级别进行查询</w:t>
            </w:r>
            <w:r>
              <w:rPr>
                <w:rFonts w:hint="eastAsia" w:ascii="宋体" w:hAnsi="宋体" w:eastAsia="宋体" w:cs="宋体"/>
                <w:color w:val="000000"/>
                <w:sz w:val="21"/>
                <w:szCs w:val="21"/>
                <w:highlight w:val="none"/>
              </w:rPr>
            </w:r>
            <w:r/>
          </w:p>
        </w:tc>
      </w:tr>
      <w:tr>
        <w:trPr>
          <w:trHeight w:val="976"/>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排水管网风险诊断模块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管网淤积风险诊断分析</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排水管网淤积风险详情分析</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查看该管网淤积风险评估详细情况，包括基本信息、管线信息、评估详情、评估分析</w:t>
            </w:r>
            <w:r>
              <w:rPr>
                <w:rFonts w:hint="eastAsia" w:ascii="宋体" w:hAnsi="宋体" w:eastAsia="宋体" w:cs="宋体"/>
                <w:color w:val="000000"/>
                <w:sz w:val="21"/>
                <w:szCs w:val="21"/>
                <w:highlight w:val="none"/>
              </w:rPr>
            </w:r>
            <w:r/>
          </w:p>
        </w:tc>
      </w:tr>
      <w:tr>
        <w:trPr>
          <w:trHeight w:val="896"/>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排水管网风险诊断模块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管网溢流风险评估分析</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排水管网溢流风险诊断分析</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展示管网溢流风险，包括管线编号、管线类别、所属区域、所在道路、风险级别进行查询</w:t>
            </w:r>
            <w:r>
              <w:rPr>
                <w:rFonts w:hint="eastAsia" w:ascii="宋体" w:hAnsi="宋体" w:eastAsia="宋体" w:cs="宋体"/>
                <w:color w:val="000000"/>
                <w:sz w:val="21"/>
                <w:szCs w:val="21"/>
                <w:highlight w:val="none"/>
              </w:rPr>
            </w:r>
            <w:r/>
          </w:p>
        </w:tc>
      </w:tr>
      <w:tr>
        <w:trPr>
          <w:trHeight w:val="851"/>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排水管网风险诊断模块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管网溢流风险评估分析</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排水管网溢流风险详情分析</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查看该管网溢流风险评估详细，包括基本信息、管线信息、评估详情、评估分析。</w:t>
            </w:r>
            <w:r>
              <w:rPr>
                <w:rFonts w:hint="eastAsia" w:ascii="宋体" w:hAnsi="宋体" w:eastAsia="宋体" w:cs="宋体"/>
                <w:color w:val="000000"/>
                <w:sz w:val="21"/>
                <w:szCs w:val="21"/>
                <w:highlight w:val="none"/>
              </w:rPr>
            </w:r>
            <w:r/>
          </w:p>
        </w:tc>
      </w:tr>
      <w:tr>
        <w:trPr>
          <w:trHeight w:val="701"/>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排水管网风险诊断模块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风险诊断统计</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渗漏风险评估情况统计</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支持按照管网年代统计分析管网综合风险评估情况、管网渗漏风险评估情况</w:t>
            </w:r>
            <w:r>
              <w:rPr>
                <w:rFonts w:hint="eastAsia" w:ascii="宋体" w:hAnsi="宋体" w:eastAsia="宋体" w:cs="宋体"/>
                <w:color w:val="000000"/>
                <w:sz w:val="21"/>
                <w:szCs w:val="21"/>
                <w:highlight w:val="none"/>
              </w:rPr>
            </w:r>
            <w:r/>
          </w:p>
        </w:tc>
      </w:tr>
      <w:tr>
        <w:trPr>
          <w:trHeight w:val="90"/>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排水管网风险诊断模块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排水管道风险评估GIS一张图</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风险评估展示</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排水管网风险叠加GIS地理信息系统进行汇聚展示，并按照不同颜色标注风险等级</w:t>
            </w:r>
            <w:r>
              <w:rPr>
                <w:rFonts w:hint="eastAsia" w:ascii="宋体" w:hAnsi="宋体" w:eastAsia="宋体" w:cs="宋体"/>
                <w:color w:val="000000"/>
                <w:sz w:val="21"/>
                <w:szCs w:val="21"/>
                <w:highlight w:val="none"/>
              </w:rPr>
            </w:r>
            <w:r/>
          </w:p>
        </w:tc>
      </w:tr>
      <w:tr>
        <w:trPr>
          <w:trHeight w:val="90"/>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排水管网风险诊断模块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排水管网决策支撑模块</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监测设备状态数据自动更新</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通过采集前端设备的实时数据，监测设备状态</w:t>
            </w:r>
            <w:r>
              <w:rPr>
                <w:rFonts w:hint="eastAsia" w:ascii="宋体" w:hAnsi="宋体" w:eastAsia="宋体" w:cs="宋体"/>
                <w:color w:val="000000"/>
                <w:sz w:val="21"/>
                <w:szCs w:val="21"/>
                <w:highlight w:val="none"/>
              </w:rPr>
            </w:r>
            <w:r/>
          </w:p>
        </w:tc>
      </w:tr>
      <w:tr>
        <w:trPr>
          <w:trHeight w:val="930"/>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排水管网风险诊断模块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排水管网决策支撑模块</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按地理位置结合运维单位分组派单</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自动生成工单，推送至维护人员。支持按地理位置分组派单</w:t>
            </w:r>
            <w:r>
              <w:rPr>
                <w:rFonts w:hint="eastAsia" w:ascii="宋体" w:hAnsi="宋体" w:eastAsia="宋体" w:cs="宋体"/>
                <w:color w:val="000000"/>
                <w:sz w:val="21"/>
                <w:szCs w:val="21"/>
                <w:highlight w:val="none"/>
              </w:rPr>
            </w:r>
            <w:r/>
          </w:p>
        </w:tc>
      </w:tr>
      <w:tr>
        <w:trPr>
          <w:trHeight w:val="968"/>
        </w:trPr>
        <w:tc>
          <w:tcPr>
            <w:tcW w:w="15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排水管网风险诊断模块</w:t>
            </w:r>
            <w:r>
              <w:rPr>
                <w:rFonts w:hint="eastAsia" w:ascii="宋体" w:hAnsi="宋体" w:eastAsia="宋体" w:cs="宋体"/>
                <w:color w:val="000000"/>
                <w:sz w:val="21"/>
                <w:szCs w:val="21"/>
                <w:highlight w:val="none"/>
              </w:rPr>
            </w:r>
            <w:r/>
          </w:p>
        </w:tc>
        <w:tc>
          <w:tcPr>
            <w:tcW w:w="1439"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排水管网决策支撑模块</w:t>
            </w:r>
            <w:r>
              <w:rPr>
                <w:rFonts w:hint="eastAsia" w:ascii="宋体" w:hAnsi="宋体" w:eastAsia="宋体" w:cs="宋体"/>
                <w:color w:val="000000"/>
                <w:sz w:val="21"/>
                <w:szCs w:val="21"/>
                <w:highlight w:val="none"/>
              </w:rPr>
            </w:r>
            <w:r/>
          </w:p>
        </w:tc>
        <w:tc>
          <w:tcPr>
            <w:tcW w:w="1440" w:type="dxa"/>
            <w:vAlign w:val="center"/>
            <w:textDirection w:val="lrTb"/>
            <w:noWrap/>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排水户问题状态数据自动更新</w:t>
            </w:r>
            <w:r>
              <w:rPr>
                <w:rFonts w:hint="eastAsia" w:ascii="宋体" w:hAnsi="宋体" w:eastAsia="宋体" w:cs="宋体"/>
                <w:color w:val="000000"/>
                <w:sz w:val="21"/>
                <w:szCs w:val="21"/>
                <w:highlight w:val="none"/>
              </w:rPr>
            </w:r>
            <w:r/>
          </w:p>
        </w:tc>
        <w:tc>
          <w:tcPr>
            <w:tcW w:w="4820" w:type="dxa"/>
            <w:vAlign w:val="center"/>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结合流量-液位异常数据、CCTV检测报告，在地图上标记高风险管段或区域，并基于问题管段汇水范围区域锁定区域排水户</w:t>
            </w:r>
            <w:r>
              <w:rPr>
                <w:rFonts w:hint="eastAsia" w:ascii="宋体" w:hAnsi="宋体" w:eastAsia="宋体" w:cs="宋体"/>
                <w:color w:val="000000"/>
                <w:sz w:val="21"/>
                <w:szCs w:val="21"/>
                <w:highlight w:val="none"/>
              </w:rPr>
            </w:r>
            <w:r/>
          </w:p>
        </w:tc>
      </w:tr>
    </w:tbl>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2"/>
      </w:pPr>
      <w:r/>
      <w:bookmarkStart w:id="73" w:name="_Toc2306"/>
      <w:r>
        <w:rPr>
          <w:rFonts w:hint="eastAsia" w:ascii="宋体" w:hAnsi="宋体" w:eastAsia="宋体" w:cs="宋体"/>
          <w:b w:val="0"/>
          <w:bCs/>
          <w:sz w:val="21"/>
          <w:szCs w:val="21"/>
          <w:highlight w:val="none"/>
          <w:lang w:val="en-US" w:eastAsia="zh-CN" w:bidi="ar-SA"/>
        </w:rPr>
        <w:t xml:space="preserve">2、 外部系统对接</w:t>
      </w:r>
      <w:bookmarkEnd w:id="73"/>
      <w:r>
        <w:rPr>
          <w:rFonts w:hint="eastAsia" w:ascii="宋体" w:hAnsi="宋体" w:eastAsia="宋体" w:cs="宋体"/>
          <w:b w:val="0"/>
          <w:bCs/>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为实现数据互联互通，本项目需对接多个外部系统，打破信息孤岛。</w:t>
      </w:r>
      <w:r>
        <w:rPr>
          <w:rFonts w:hint="eastAsia" w:ascii="宋体" w:hAnsi="宋体" w:eastAsia="宋体" w:cs="宋体"/>
          <w:sz w:val="21"/>
          <w:szCs w:val="21"/>
          <w:highlight w:val="none"/>
        </w:rPr>
      </w:r>
      <w:r/>
    </w:p>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bCs/>
          <w:sz w:val="21"/>
          <w:szCs w:val="21"/>
          <w:highlight w:val="none"/>
          <w:lang w:val="en-US" w:eastAsia="zh-CN" w:bidi="ar-SA"/>
        </w:rPr>
        <w:t xml:space="preserve">（1）与城市生命线工程平台对接</w:t>
      </w:r>
      <w:r>
        <w:rPr>
          <w:rFonts w:hint="eastAsia" w:ascii="宋体" w:hAnsi="宋体" w:eastAsia="宋体" w:cs="宋体"/>
          <w:b w:val="0"/>
          <w:bCs/>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对接内容：</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从生命线平台获取：排水设施基础信息、实时监测数据、历史监测数据、预警告警信息、应急处置数据。</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向生命线平台上报：本平台生成的预警信息、处置结果、新增监测数据。</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对接方式：通过堡垒机连接。</w:t>
      </w:r>
      <w:r>
        <w:rPr>
          <w:rFonts w:hint="eastAsia" w:ascii="宋体" w:hAnsi="宋体" w:eastAsia="宋体" w:cs="宋体"/>
          <w:sz w:val="21"/>
          <w:szCs w:val="21"/>
          <w:highlight w:val="none"/>
        </w:rPr>
      </w:r>
      <w:r/>
    </w:p>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bCs/>
          <w:sz w:val="21"/>
          <w:szCs w:val="21"/>
          <w:highlight w:val="none"/>
          <w:lang w:val="en-US" w:eastAsia="zh-CN" w:bidi="ar-SA"/>
        </w:rPr>
        <w:t xml:space="preserve">（2）与泵站平台对接</w:t>
      </w:r>
      <w:r>
        <w:rPr>
          <w:rFonts w:hint="eastAsia" w:ascii="宋体" w:hAnsi="宋体" w:eastAsia="宋体" w:cs="宋体"/>
          <w:b w:val="0"/>
          <w:bCs/>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对接内容：获取泵站基础信息、实时监测信息（流量、液位、启停）、视频信息。</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对接方式：通过堡垒机连接获取。</w:t>
      </w:r>
      <w:r>
        <w:rPr>
          <w:rFonts w:hint="eastAsia" w:ascii="宋体" w:hAnsi="宋体" w:eastAsia="宋体" w:cs="宋体"/>
          <w:sz w:val="21"/>
          <w:szCs w:val="21"/>
          <w:highlight w:val="none"/>
        </w:rPr>
      </w:r>
      <w:r/>
    </w:p>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bCs/>
          <w:sz w:val="21"/>
          <w:szCs w:val="21"/>
          <w:highlight w:val="none"/>
          <w:lang w:val="en-US" w:eastAsia="zh-CN" w:bidi="ar-SA"/>
        </w:rPr>
        <w:t xml:space="preserve">（3）导入旧智慧排水综合管理平台数据</w:t>
      </w:r>
      <w:r>
        <w:rPr>
          <w:rFonts w:hint="eastAsia" w:ascii="宋体" w:hAnsi="宋体" w:eastAsia="宋体" w:cs="宋体"/>
          <w:b w:val="0"/>
          <w:bCs/>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通过工具批量导入历史数据迁移，包括管网档案、排水户信息、历年监测数据等。</w:t>
      </w:r>
      <w:r>
        <w:rPr>
          <w:rFonts w:hint="eastAsia" w:ascii="宋体" w:hAnsi="宋体" w:eastAsia="宋体" w:cs="宋体"/>
          <w:sz w:val="21"/>
          <w:szCs w:val="21"/>
          <w:highlight w:val="none"/>
        </w:rPr>
      </w:r>
      <w:r/>
    </w:p>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2"/>
      </w:pPr>
      <w:r/>
      <w:bookmarkStart w:id="74" w:name="_Toc15682"/>
      <w:r>
        <w:rPr>
          <w:rFonts w:hint="eastAsia" w:ascii="宋体" w:hAnsi="宋体" w:eastAsia="宋体" w:cs="宋体"/>
          <w:b w:val="0"/>
          <w:bCs/>
          <w:sz w:val="21"/>
          <w:szCs w:val="21"/>
          <w:highlight w:val="none"/>
          <w:lang w:val="en-US" w:eastAsia="zh-CN" w:bidi="ar-SA"/>
        </w:rPr>
        <w:t xml:space="preserve">（4）硬件直接对接</w:t>
      </w:r>
      <w:bookmarkEnd w:id="74"/>
      <w:r>
        <w:rPr>
          <w:rFonts w:hint="eastAsia" w:ascii="宋体" w:hAnsi="宋体" w:eastAsia="宋体" w:cs="宋体"/>
          <w:b w:val="0"/>
          <w:bCs/>
          <w:sz w:val="21"/>
          <w:szCs w:val="21"/>
          <w:highlight w:val="none"/>
          <w:lang w:val="en-US" w:eastAsia="zh-CN" w:bidi="ar-SA"/>
        </w:rPr>
      </w:r>
      <w:r/>
    </w:p>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bCs/>
          <w:sz w:val="21"/>
          <w:szCs w:val="21"/>
          <w:highlight w:val="none"/>
          <w:lang w:val="en-US" w:eastAsia="zh-CN" w:bidi="ar-SA"/>
        </w:rPr>
        <w:t xml:space="preserve"> 新设备安装对接</w:t>
      </w:r>
      <w:r>
        <w:rPr>
          <w:rFonts w:hint="eastAsia" w:ascii="宋体" w:hAnsi="宋体" w:eastAsia="宋体" w:cs="宋体"/>
          <w:b w:val="0"/>
          <w:bCs/>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设备类型：雷达液位计（20套）、COD分析仪（3套）等。</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对接方式：通过4G VPN专网直传至本平台。</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布点原则：坚持同排水户监测监管有效衔接，上下游关联无盲点，最大限度提高监测资源覆盖面。首批优先布局重点排水户排口、区界断面、历史易涝点。成功运行一个流域后，总结经验再推广到下一个流域。</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实施流程：确定点位→安装调试→数据接入平台→试运行→验收。</w:t>
      </w:r>
      <w:r>
        <w:rPr>
          <w:rFonts w:hint="eastAsia" w:ascii="宋体" w:hAnsi="宋体" w:eastAsia="宋体" w:cs="宋体"/>
          <w:sz w:val="21"/>
          <w:szCs w:val="21"/>
          <w:highlight w:val="none"/>
          <w:lang w:val="en-US" w:eastAsia="zh-CN" w:bidi="ar-SA"/>
        </w:rPr>
      </w:r>
      <w:r/>
    </w:p>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bCs/>
          <w:sz w:val="21"/>
          <w:szCs w:val="21"/>
          <w:highlight w:val="none"/>
          <w:lang w:val="en-US" w:eastAsia="zh-CN" w:bidi="ar-SA"/>
        </w:rPr>
        <w:t xml:space="preserve">综合利用原有设备</w:t>
      </w:r>
      <w:r>
        <w:rPr>
          <w:rFonts w:hint="eastAsia" w:ascii="宋体" w:hAnsi="宋体" w:eastAsia="宋体" w:cs="宋体"/>
          <w:b w:val="0"/>
          <w:bCs/>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利旧范围：前期其他项目建设的泵站智能化设备、排口监控视频、下穿桥监控视频等。</w:t>
      </w:r>
      <w:r>
        <w:rPr>
          <w:rFonts w:hint="eastAsia" w:ascii="宋体" w:hAnsi="宋体" w:eastAsia="宋体" w:cs="宋体"/>
          <w:sz w:val="21"/>
          <w:szCs w:val="21"/>
          <w:highlight w:val="none"/>
        </w:rPr>
      </w:r>
      <w:r/>
    </w:p>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bCs/>
          <w:sz w:val="21"/>
          <w:szCs w:val="21"/>
          <w:highlight w:val="none"/>
          <w:lang w:val="en-US" w:eastAsia="zh-CN" w:bidi="ar-SA"/>
        </w:rPr>
        <w:t xml:space="preserve">排水户自建设备接入</w:t>
      </w:r>
      <w:r>
        <w:rPr>
          <w:rFonts w:hint="eastAsia" w:ascii="宋体" w:hAnsi="宋体" w:eastAsia="宋体" w:cs="宋体"/>
          <w:b w:val="0"/>
          <w:bCs/>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范围：部分排水户已按环保要求自建流量、水质监测设施。</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接入方式：根据需要，后续在排水户侧部署采集网关，与自建设备对接后上传。需与排水户签订数据共享协议。</w:t>
      </w:r>
      <w:r>
        <w:rPr>
          <w:rFonts w:hint="eastAsia" w:ascii="宋体" w:hAnsi="宋体" w:eastAsia="宋体" w:cs="宋体"/>
          <w:sz w:val="21"/>
          <w:szCs w:val="21"/>
          <w:highlight w:val="none"/>
        </w:rPr>
      </w:r>
      <w:r/>
    </w:p>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2"/>
      </w:pPr>
      <w:r/>
      <w:bookmarkStart w:id="75" w:name="_Toc10871"/>
      <w:r>
        <w:rPr>
          <w:rFonts w:hint="eastAsia" w:ascii="宋体" w:hAnsi="宋体" w:eastAsia="宋体" w:cs="宋体"/>
          <w:b w:val="0"/>
          <w:bCs/>
          <w:sz w:val="21"/>
          <w:szCs w:val="21"/>
          <w:highlight w:val="none"/>
          <w:lang w:val="en-US" w:eastAsia="zh-CN" w:bidi="ar-SA"/>
        </w:rPr>
        <w:t xml:space="preserve">硬件设备详细设计</w:t>
      </w:r>
      <w:bookmarkEnd w:id="75"/>
      <w:r>
        <w:rPr>
          <w:rFonts w:hint="eastAsia" w:ascii="宋体" w:hAnsi="宋体" w:eastAsia="宋体" w:cs="宋体"/>
          <w:b w:val="0"/>
          <w:bCs/>
          <w:sz w:val="21"/>
          <w:szCs w:val="21"/>
          <w:highlight w:val="none"/>
          <w:lang w:val="en-US" w:eastAsia="zh-CN" w:bidi="ar-SA"/>
        </w:rPr>
      </w:r>
      <w:r/>
    </w:p>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bCs/>
          <w:sz w:val="21"/>
          <w:szCs w:val="21"/>
          <w:highlight w:val="none"/>
          <w:lang w:val="en-US" w:eastAsia="zh-CN" w:bidi="ar-SA"/>
        </w:rPr>
        <w:t xml:space="preserve">雷达液位计</w:t>
      </w:r>
      <w:r>
        <w:rPr>
          <w:rFonts w:hint="eastAsia" w:ascii="宋体" w:hAnsi="宋体" w:eastAsia="宋体" w:cs="宋体"/>
          <w:b w:val="0"/>
          <w:bCs/>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用途：对排水户、区界断面、冒溢点、重点管网等实施液位在线监测，用于管网问题诊断、运行能力评估、内涝预测、异常出流判定等。</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主要技术参数：</w:t>
      </w:r>
      <w:r>
        <w:rPr>
          <w:rFonts w:hint="eastAsia" w:ascii="宋体" w:hAnsi="宋体" w:eastAsia="宋体" w:cs="宋体"/>
          <w:sz w:val="21"/>
          <w:szCs w:val="21"/>
          <w:highlight w:val="none"/>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量程：0-10m</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测距精度：±1mm</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分辨率：1mm</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工作频率：60GHz（FMCW体制）</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波束角：4°</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电池电压：DC 10.8V，容量38AH，工作时间≥12个月</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通信方式：4G/2G/NB-IoT可选</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报警功能：6级水位报警</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防护等级：IP68</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防爆等级：Ex ia IIC T6 Ga/Ex iaD 20 T85</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布设要求：根据点位表分批次安装，服务期3年。数据传送至指定平台，包含液位、上报时间、采集时间、设备序列号、位置、电量、倾角等。设备在线率要求≥95%，含流量卡及3年流量费。</w:t>
      </w:r>
      <w:r>
        <w:rPr>
          <w:rFonts w:hint="eastAsia" w:ascii="宋体" w:hAnsi="宋体" w:eastAsia="宋体" w:cs="宋体"/>
          <w:sz w:val="21"/>
          <w:szCs w:val="21"/>
          <w:highlight w:val="none"/>
          <w:lang w:val="en-US" w:eastAsia="zh-CN" w:bidi="ar-SA"/>
        </w:rPr>
      </w:r>
      <w:r/>
    </w:p>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bCs/>
          <w:sz w:val="21"/>
          <w:szCs w:val="21"/>
          <w:highlight w:val="none"/>
          <w:lang w:val="en-US" w:eastAsia="zh-CN" w:bidi="ar-SA"/>
        </w:rPr>
        <w:t xml:space="preserve"> 便携式流量计</w:t>
      </w:r>
      <w:r>
        <w:rPr>
          <w:rFonts w:hint="eastAsia" w:ascii="宋体" w:hAnsi="宋体" w:eastAsia="宋体" w:cs="宋体"/>
          <w:b w:val="0"/>
          <w:bCs/>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用途：排口溯源临时性测流量，用于单点测流、多排口联动测流、溯源追踪。</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主要技术参数：</w:t>
      </w:r>
      <w:r>
        <w:rPr>
          <w:rFonts w:hint="eastAsia" w:ascii="宋体" w:hAnsi="宋体" w:eastAsia="宋体" w:cs="宋体"/>
          <w:sz w:val="21"/>
          <w:szCs w:val="21"/>
          <w:highlight w:val="none"/>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测量原理：多普勒+投入式静压</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流速测量范围：±6m/s，精度±1.0%FS</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水位测量范围：0-10m，精度±0.1%FS</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瞬时流量范围：0.001-65.535m³/s</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工作温度：-10℃～60℃</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防护等级：IP68</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防爆等级：Ex ia IIC T6 Ga</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内置各种断面模型计算公式，可存储10万组数据。</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配置：含传感器、主机、插杆、充电器，提供3年延保服务。</w:t>
      </w:r>
      <w:r>
        <w:rPr>
          <w:rFonts w:hint="eastAsia" w:ascii="宋体" w:hAnsi="宋体" w:eastAsia="宋体" w:cs="宋体"/>
          <w:sz w:val="21"/>
          <w:szCs w:val="21"/>
          <w:highlight w:val="none"/>
          <w:lang w:val="en-US" w:eastAsia="zh-CN" w:bidi="ar-SA"/>
        </w:rPr>
      </w:r>
      <w:r/>
    </w:p>
    <w:p>
      <w:pPr>
        <w:pStyle w:val="973"/>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bCs/>
          <w:sz w:val="21"/>
          <w:szCs w:val="21"/>
          <w:highlight w:val="none"/>
          <w:lang w:val="en-US" w:eastAsia="zh-CN" w:bidi="ar-SA"/>
        </w:rPr>
        <w:t xml:space="preserve"> COD分析仪</w:t>
      </w:r>
      <w:r>
        <w:rPr>
          <w:rFonts w:hint="eastAsia" w:ascii="宋体" w:hAnsi="宋体" w:eastAsia="宋体" w:cs="宋体"/>
          <w:b w:val="0"/>
          <w:bCs/>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用途：对排水口、河道进行COD在线监测，用于水质管控、污染预警。</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技术参数：</w:t>
      </w:r>
      <w:r>
        <w:rPr>
          <w:rFonts w:hint="eastAsia" w:ascii="宋体" w:hAnsi="宋体" w:eastAsia="宋体" w:cs="宋体"/>
          <w:sz w:val="21"/>
          <w:szCs w:val="21"/>
          <w:highlight w:val="none"/>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量程：0~500mg/L COD</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分辨率：0.1mg/L</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精确度：±2%或±2.5mg/L</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输出：RS485，Modbus RTU</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供电：9-28VDC</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自清洁功能</w:t>
      </w:r>
      <w:r>
        <w:rPr>
          <w:rFonts w:hint="eastAsia" w:ascii="宋体" w:hAnsi="宋体" w:eastAsia="宋体" w:cs="宋体"/>
          <w:sz w:val="21"/>
          <w:szCs w:val="21"/>
          <w:highlight w:val="none"/>
          <w:lang w:val="en-US" w:eastAsia="zh-CN" w:bidi="ar-SA"/>
        </w:rPr>
      </w:r>
      <w:r/>
    </w:p>
    <w:p>
      <w:pPr>
        <w:pStyle w:val="973"/>
        <w:numPr>
          <w:ilvl w:val="0"/>
          <w:numId w:val="29"/>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配置：含安装、辅材、现场取电、3年流量费。</w:t>
      </w:r>
      <w:r>
        <w:rPr>
          <w:rFonts w:hint="eastAsia" w:ascii="宋体" w:hAnsi="宋体" w:eastAsia="宋体" w:cs="宋体"/>
          <w:sz w:val="21"/>
          <w:szCs w:val="21"/>
          <w:highlight w:val="none"/>
          <w:lang w:val="en-US" w:eastAsia="zh-CN" w:bidi="ar-SA"/>
        </w:rPr>
      </w:r>
      <w:r/>
    </w:p>
    <w:p>
      <w:pPr>
        <w:pStyle w:val="973"/>
        <w:numPr>
          <w:ilvl w:val="0"/>
          <w:numId w:val="0"/>
        </w:numPr>
        <w:ind w:left="0" w:firstLine="420"/>
        <w:jc w:val="both"/>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2"/>
      </w:pPr>
      <w:r>
        <w:rPr>
          <w:rFonts w:hint="eastAsia" w:ascii="宋体" w:hAnsi="宋体" w:eastAsia="宋体" w:cs="宋体"/>
          <w:b w:val="0"/>
          <w:bCs/>
          <w:sz w:val="21"/>
          <w:szCs w:val="21"/>
          <w:highlight w:val="none"/>
          <w:lang w:val="en-US" w:eastAsia="zh-CN" w:bidi="ar-SA"/>
        </w:rPr>
        <w:t xml:space="preserve">3、配套资源</w:t>
      </w:r>
      <w:r>
        <w:rPr>
          <w:rFonts w:hint="eastAsia" w:ascii="宋体" w:hAnsi="宋体" w:eastAsia="宋体" w:cs="宋体"/>
          <w:b w:val="0"/>
          <w:bCs/>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本项目通过复用扬州市政务云资源，可实现资源的集约化建设和精细化管理，确保平台符合安全可靠应用政策要求。</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具体资源需求清单如下：</w:t>
      </w:r>
      <w:r>
        <w:rPr>
          <w:rFonts w:hint="eastAsia" w:ascii="宋体" w:hAnsi="宋体" w:eastAsia="宋体" w:cs="宋体"/>
          <w:sz w:val="21"/>
          <w:szCs w:val="21"/>
          <w:highlight w:val="none"/>
        </w:rPr>
      </w:r>
      <w:r/>
    </w:p>
    <w:tbl>
      <w:tblPr>
        <w:tblW w:w="9193"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785"/>
        <w:gridCol w:w="1635"/>
        <w:gridCol w:w="1988"/>
        <w:gridCol w:w="1261"/>
        <w:gridCol w:w="1534"/>
      </w:tblGrid>
      <w:tr>
        <w:trPr>
          <w:trHeight w:val="540"/>
        </w:trPr>
        <w:tc>
          <w:tcPr>
            <w:tcW w:w="9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78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资源类别</w:t>
            </w:r>
            <w:r>
              <w:rPr>
                <w:rFonts w:hint="eastAsia" w:ascii="宋体" w:hAnsi="宋体" w:eastAsia="宋体" w:cs="宋体"/>
                <w:b/>
                <w:bCs/>
                <w:color w:val="000000"/>
                <w:sz w:val="21"/>
                <w:szCs w:val="21"/>
                <w:highlight w:val="none"/>
              </w:rPr>
            </w:r>
            <w:r/>
          </w:p>
        </w:tc>
        <w:tc>
          <w:tcPr>
            <w:tcW w:w="163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用途</w:t>
            </w:r>
            <w:r>
              <w:rPr>
                <w:rFonts w:hint="eastAsia" w:ascii="宋体" w:hAnsi="宋体" w:eastAsia="宋体" w:cs="宋体"/>
                <w:b/>
                <w:bCs/>
                <w:color w:val="000000"/>
                <w:sz w:val="21"/>
                <w:szCs w:val="21"/>
                <w:highlight w:val="none"/>
              </w:rPr>
            </w:r>
            <w:r/>
          </w:p>
        </w:tc>
        <w:tc>
          <w:tcPr>
            <w:tcW w:w="198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规格与参数</w:t>
            </w:r>
            <w:r>
              <w:rPr>
                <w:rFonts w:hint="eastAsia" w:ascii="宋体" w:hAnsi="宋体" w:eastAsia="宋体" w:cs="宋体"/>
                <w:b/>
                <w:bCs/>
                <w:color w:val="000000"/>
                <w:sz w:val="21"/>
                <w:szCs w:val="21"/>
                <w:highlight w:val="none"/>
              </w:rPr>
            </w:r>
            <w:r/>
          </w:p>
        </w:tc>
        <w:tc>
          <w:tcPr>
            <w:tcW w:w="12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W w:w="153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680"/>
        </w:trPr>
        <w:tc>
          <w:tcPr>
            <w:tcW w:w="9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785" w:type="dxa"/>
            <w:vAlign w:val="center"/>
            <w:vMerge w:val="restart"/>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云主机</w:t>
            </w:r>
            <w:r>
              <w:rPr>
                <w:rFonts w:hint="eastAsia" w:ascii="宋体" w:hAnsi="宋体" w:eastAsia="宋体" w:cs="宋体"/>
                <w:b/>
                <w:bCs/>
                <w:color w:val="000000"/>
                <w:sz w:val="21"/>
                <w:szCs w:val="21"/>
                <w:highlight w:val="none"/>
              </w:rPr>
            </w:r>
            <w:r/>
          </w:p>
        </w:tc>
        <w:tc>
          <w:tcPr>
            <w:tcW w:w="163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应用服务器</w:t>
            </w:r>
            <w:r>
              <w:rPr>
                <w:rFonts w:hint="eastAsia" w:ascii="宋体" w:hAnsi="宋体" w:eastAsia="宋体" w:cs="宋体"/>
                <w:color w:val="000000"/>
                <w:sz w:val="21"/>
                <w:szCs w:val="21"/>
                <w:highlight w:val="none"/>
              </w:rPr>
            </w:r>
            <w:r/>
          </w:p>
        </w:tc>
        <w:tc>
          <w:tcPr>
            <w:tcW w:w="198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CPU≥16核，内存≥32GB，存储≥1T</w:t>
            </w:r>
            <w:r>
              <w:rPr>
                <w:rFonts w:hint="eastAsia" w:ascii="宋体" w:hAnsi="宋体" w:eastAsia="宋体" w:cs="宋体"/>
                <w:color w:val="000000"/>
                <w:sz w:val="21"/>
                <w:szCs w:val="21"/>
                <w:highlight w:val="none"/>
              </w:rPr>
            </w:r>
            <w:r/>
          </w:p>
        </w:tc>
        <w:tc>
          <w:tcPr>
            <w:tcW w:w="12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1台</w:t>
            </w:r>
            <w:r>
              <w:rPr>
                <w:rFonts w:hint="eastAsia" w:ascii="宋体" w:hAnsi="宋体" w:eastAsia="宋体" w:cs="宋体"/>
                <w:color w:val="000000"/>
                <w:sz w:val="21"/>
                <w:szCs w:val="21"/>
                <w:highlight w:val="none"/>
              </w:rPr>
            </w:r>
            <w:r/>
          </w:p>
        </w:tc>
        <w:tc>
          <w:tcPr>
            <w:tcW w:w="153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部署业务应用</w:t>
            </w:r>
            <w:r>
              <w:rPr>
                <w:rFonts w:hint="eastAsia" w:ascii="宋体" w:hAnsi="宋体" w:eastAsia="宋体" w:cs="宋体"/>
                <w:color w:val="000000"/>
                <w:sz w:val="21"/>
                <w:szCs w:val="21"/>
                <w:highlight w:val="none"/>
              </w:rPr>
            </w:r>
            <w:r/>
          </w:p>
        </w:tc>
      </w:tr>
      <w:tr>
        <w:trPr>
          <w:trHeight w:val="740"/>
        </w:trPr>
        <w:tc>
          <w:tcPr>
            <w:tcW w:w="9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785" w:type="dxa"/>
            <w:vAlign w:val="center"/>
            <w:vMerge w:val="continue"/>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63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数据库服务器</w:t>
            </w:r>
            <w:r>
              <w:rPr>
                <w:rFonts w:hint="eastAsia" w:ascii="宋体" w:hAnsi="宋体" w:eastAsia="宋体" w:cs="宋体"/>
                <w:color w:val="000000"/>
                <w:sz w:val="21"/>
                <w:szCs w:val="21"/>
                <w:highlight w:val="none"/>
              </w:rPr>
            </w:r>
            <w:r/>
          </w:p>
        </w:tc>
        <w:tc>
          <w:tcPr>
            <w:tcW w:w="198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CPU≥16核，内存≥64GB，存储≥500GB</w:t>
            </w:r>
            <w:r>
              <w:rPr>
                <w:rFonts w:hint="eastAsia" w:ascii="宋体" w:hAnsi="宋体" w:eastAsia="宋体" w:cs="宋体"/>
                <w:color w:val="000000"/>
                <w:sz w:val="21"/>
                <w:szCs w:val="21"/>
                <w:highlight w:val="none"/>
              </w:rPr>
            </w:r>
            <w:r/>
          </w:p>
        </w:tc>
        <w:tc>
          <w:tcPr>
            <w:tcW w:w="12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1台</w:t>
            </w:r>
            <w:r>
              <w:rPr>
                <w:rFonts w:hint="eastAsia" w:ascii="宋体" w:hAnsi="宋体" w:eastAsia="宋体" w:cs="宋体"/>
                <w:color w:val="000000"/>
                <w:sz w:val="21"/>
                <w:szCs w:val="21"/>
                <w:highlight w:val="none"/>
              </w:rPr>
            </w:r>
            <w:r/>
          </w:p>
        </w:tc>
        <w:tc>
          <w:tcPr>
            <w:tcW w:w="153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部署数据库</w:t>
            </w:r>
            <w:r>
              <w:rPr>
                <w:rFonts w:hint="eastAsia" w:ascii="宋体" w:hAnsi="宋体" w:eastAsia="宋体" w:cs="宋体"/>
                <w:color w:val="000000"/>
                <w:sz w:val="21"/>
                <w:szCs w:val="21"/>
                <w:highlight w:val="none"/>
              </w:rPr>
            </w:r>
            <w:r/>
          </w:p>
        </w:tc>
      </w:tr>
      <w:tr>
        <w:trPr>
          <w:trHeight w:val="700"/>
        </w:trPr>
        <w:tc>
          <w:tcPr>
            <w:tcW w:w="9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785" w:type="dxa"/>
            <w:vAlign w:val="center"/>
            <w:vMerge w:val="continue"/>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63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报表服务器</w:t>
            </w:r>
            <w:r>
              <w:rPr>
                <w:rFonts w:hint="eastAsia" w:ascii="宋体" w:hAnsi="宋体" w:eastAsia="宋体" w:cs="宋体"/>
                <w:color w:val="000000"/>
                <w:sz w:val="21"/>
                <w:szCs w:val="21"/>
                <w:highlight w:val="none"/>
              </w:rPr>
            </w:r>
            <w:r/>
          </w:p>
        </w:tc>
        <w:tc>
          <w:tcPr>
            <w:tcW w:w="198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CPU≥16核，内存≥32GB，存储≥1T</w:t>
            </w:r>
            <w:r>
              <w:rPr>
                <w:rFonts w:hint="eastAsia" w:ascii="宋体" w:hAnsi="宋体" w:eastAsia="宋体" w:cs="宋体"/>
                <w:color w:val="000000"/>
                <w:sz w:val="21"/>
                <w:szCs w:val="21"/>
                <w:highlight w:val="none"/>
              </w:rPr>
            </w:r>
            <w:r/>
          </w:p>
        </w:tc>
        <w:tc>
          <w:tcPr>
            <w:tcW w:w="12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1台</w:t>
            </w:r>
            <w:r>
              <w:rPr>
                <w:rFonts w:hint="eastAsia" w:ascii="宋体" w:hAnsi="宋体" w:eastAsia="宋体" w:cs="宋体"/>
                <w:color w:val="000000"/>
                <w:sz w:val="21"/>
                <w:szCs w:val="21"/>
                <w:highlight w:val="none"/>
              </w:rPr>
            </w:r>
            <w:r/>
          </w:p>
        </w:tc>
        <w:tc>
          <w:tcPr>
            <w:tcW w:w="153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部署报表服务</w:t>
            </w:r>
            <w:r>
              <w:rPr>
                <w:rFonts w:hint="eastAsia" w:ascii="宋体" w:hAnsi="宋体" w:eastAsia="宋体" w:cs="宋体"/>
                <w:color w:val="000000"/>
                <w:sz w:val="21"/>
                <w:szCs w:val="21"/>
                <w:highlight w:val="none"/>
              </w:rPr>
            </w:r>
            <w:r/>
          </w:p>
        </w:tc>
      </w:tr>
      <w:tr>
        <w:trPr>
          <w:trHeight w:val="90"/>
        </w:trPr>
        <w:tc>
          <w:tcPr>
            <w:tcW w:w="9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785" w:type="dxa"/>
            <w:vAlign w:val="center"/>
            <w:vMerge w:val="continue"/>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63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GIS服务器</w:t>
            </w:r>
            <w:r>
              <w:rPr>
                <w:rFonts w:hint="eastAsia" w:ascii="宋体" w:hAnsi="宋体" w:eastAsia="宋体" w:cs="宋体"/>
                <w:color w:val="000000"/>
                <w:sz w:val="21"/>
                <w:szCs w:val="21"/>
                <w:highlight w:val="none"/>
              </w:rPr>
            </w:r>
            <w:r/>
          </w:p>
        </w:tc>
        <w:tc>
          <w:tcPr>
            <w:tcW w:w="198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CPU≥8核，内存≥16GB，存储≥500GB</w:t>
            </w:r>
            <w:r>
              <w:rPr>
                <w:rFonts w:hint="eastAsia" w:ascii="宋体" w:hAnsi="宋体" w:eastAsia="宋体" w:cs="宋体"/>
                <w:color w:val="000000"/>
                <w:sz w:val="21"/>
                <w:szCs w:val="21"/>
                <w:highlight w:val="none"/>
              </w:rPr>
            </w:r>
            <w:r/>
          </w:p>
        </w:tc>
        <w:tc>
          <w:tcPr>
            <w:tcW w:w="12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1台</w:t>
            </w:r>
            <w:r>
              <w:rPr>
                <w:rFonts w:hint="eastAsia" w:ascii="宋体" w:hAnsi="宋体" w:eastAsia="宋体" w:cs="宋体"/>
                <w:color w:val="000000"/>
                <w:sz w:val="21"/>
                <w:szCs w:val="21"/>
                <w:highlight w:val="none"/>
              </w:rPr>
            </w:r>
            <w:r/>
          </w:p>
        </w:tc>
        <w:tc>
          <w:tcPr>
            <w:tcW w:w="153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部署GIS服务</w:t>
            </w:r>
            <w:r>
              <w:rPr>
                <w:rFonts w:hint="eastAsia" w:ascii="宋体" w:hAnsi="宋体" w:eastAsia="宋体" w:cs="宋体"/>
                <w:color w:val="000000"/>
                <w:sz w:val="21"/>
                <w:szCs w:val="21"/>
                <w:highlight w:val="none"/>
              </w:rPr>
            </w:r>
            <w:r/>
          </w:p>
        </w:tc>
      </w:tr>
      <w:tr>
        <w:trPr>
          <w:trHeight w:val="755"/>
        </w:trPr>
        <w:tc>
          <w:tcPr>
            <w:tcW w:w="9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785" w:type="dxa"/>
            <w:vAlign w:val="center"/>
            <w:vMerge w:val="continue"/>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63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堡垒机</w:t>
            </w:r>
            <w:r>
              <w:rPr>
                <w:rFonts w:hint="eastAsia" w:ascii="宋体" w:hAnsi="宋体" w:eastAsia="宋体" w:cs="宋体"/>
                <w:color w:val="000000"/>
                <w:sz w:val="21"/>
                <w:szCs w:val="21"/>
                <w:highlight w:val="none"/>
              </w:rPr>
            </w:r>
            <w:r/>
          </w:p>
        </w:tc>
        <w:tc>
          <w:tcPr>
            <w:tcW w:w="198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CPU≥8核，内存≥16GB，存储≥500GB</w:t>
            </w:r>
            <w:r>
              <w:rPr>
                <w:rFonts w:hint="eastAsia" w:ascii="宋体" w:hAnsi="宋体" w:eastAsia="宋体" w:cs="宋体"/>
                <w:color w:val="000000"/>
                <w:sz w:val="21"/>
                <w:szCs w:val="21"/>
                <w:highlight w:val="none"/>
              </w:rPr>
            </w:r>
            <w:r/>
          </w:p>
        </w:tc>
        <w:tc>
          <w:tcPr>
            <w:tcW w:w="12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1台</w:t>
            </w:r>
            <w:r>
              <w:rPr>
                <w:rFonts w:hint="eastAsia" w:ascii="宋体" w:hAnsi="宋体" w:eastAsia="宋体" w:cs="宋体"/>
                <w:color w:val="000000"/>
                <w:sz w:val="21"/>
                <w:szCs w:val="21"/>
                <w:highlight w:val="none"/>
              </w:rPr>
            </w:r>
            <w:r/>
          </w:p>
        </w:tc>
        <w:tc>
          <w:tcPr>
            <w:tcW w:w="153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安全入口</w:t>
            </w:r>
            <w:r>
              <w:rPr>
                <w:rFonts w:hint="eastAsia" w:ascii="宋体" w:hAnsi="宋体" w:eastAsia="宋体" w:cs="宋体"/>
                <w:color w:val="000000"/>
                <w:sz w:val="21"/>
                <w:szCs w:val="21"/>
                <w:highlight w:val="none"/>
              </w:rPr>
            </w:r>
            <w:r/>
          </w:p>
        </w:tc>
      </w:tr>
      <w:tr>
        <w:trPr>
          <w:trHeight w:val="540"/>
        </w:trPr>
        <w:tc>
          <w:tcPr>
            <w:tcW w:w="9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网络资源</w:t>
            </w:r>
            <w:r>
              <w:rPr>
                <w:rFonts w:hint="eastAsia" w:ascii="宋体" w:hAnsi="宋体" w:eastAsia="宋体" w:cs="宋体"/>
                <w:b/>
                <w:bCs/>
                <w:color w:val="000000"/>
                <w:sz w:val="21"/>
                <w:szCs w:val="21"/>
                <w:highlight w:val="none"/>
              </w:rPr>
            </w:r>
            <w:r/>
          </w:p>
        </w:tc>
        <w:tc>
          <w:tcPr>
            <w:tcW w:w="163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出口带宽</w:t>
            </w:r>
            <w:r>
              <w:rPr>
                <w:rFonts w:hint="eastAsia" w:ascii="宋体" w:hAnsi="宋体" w:eastAsia="宋体" w:cs="宋体"/>
                <w:color w:val="000000"/>
                <w:sz w:val="21"/>
                <w:szCs w:val="21"/>
                <w:highlight w:val="none"/>
              </w:rPr>
            </w:r>
            <w:r/>
          </w:p>
        </w:tc>
        <w:tc>
          <w:tcPr>
            <w:tcW w:w="198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不低于100Mbps，具备冗余</w:t>
            </w:r>
            <w:r>
              <w:rPr>
                <w:rFonts w:hint="eastAsia" w:ascii="宋体" w:hAnsi="宋体" w:eastAsia="宋体" w:cs="宋体"/>
                <w:color w:val="000000"/>
                <w:sz w:val="21"/>
                <w:szCs w:val="21"/>
                <w:highlight w:val="none"/>
              </w:rPr>
            </w:r>
            <w:r/>
          </w:p>
        </w:tc>
        <w:tc>
          <w:tcPr>
            <w:tcW w:w="12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1条</w:t>
            </w:r>
            <w:r>
              <w:rPr>
                <w:rFonts w:hint="eastAsia" w:ascii="宋体" w:hAnsi="宋体" w:eastAsia="宋体" w:cs="宋体"/>
                <w:color w:val="000000"/>
                <w:sz w:val="21"/>
                <w:szCs w:val="21"/>
                <w:highlight w:val="none"/>
              </w:rPr>
            </w:r>
            <w:r/>
          </w:p>
        </w:tc>
        <w:tc>
          <w:tcPr>
            <w:tcW w:w="153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对外连接</w:t>
            </w:r>
            <w:r>
              <w:rPr>
                <w:rFonts w:hint="eastAsia" w:ascii="宋体" w:hAnsi="宋体" w:eastAsia="宋体" w:cs="宋体"/>
                <w:color w:val="000000"/>
                <w:sz w:val="21"/>
                <w:szCs w:val="21"/>
                <w:highlight w:val="none"/>
              </w:rPr>
            </w:r>
            <w:r/>
          </w:p>
        </w:tc>
      </w:tr>
      <w:tr>
        <w:trPr>
          <w:trHeight w:val="425"/>
        </w:trPr>
        <w:tc>
          <w:tcPr>
            <w:tcW w:w="9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安全资源</w:t>
            </w:r>
            <w:r>
              <w:rPr>
                <w:rFonts w:hint="eastAsia" w:ascii="宋体" w:hAnsi="宋体" w:eastAsia="宋体" w:cs="宋体"/>
                <w:b/>
                <w:bCs/>
                <w:color w:val="000000"/>
                <w:sz w:val="21"/>
                <w:szCs w:val="21"/>
                <w:highlight w:val="none"/>
              </w:rPr>
            </w:r>
            <w:r/>
          </w:p>
        </w:tc>
        <w:tc>
          <w:tcPr>
            <w:tcW w:w="163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云安全服务</w:t>
            </w:r>
            <w:r>
              <w:rPr>
                <w:rFonts w:hint="eastAsia" w:ascii="宋体" w:hAnsi="宋体" w:eastAsia="宋体" w:cs="宋体"/>
                <w:color w:val="000000"/>
                <w:sz w:val="21"/>
                <w:szCs w:val="21"/>
                <w:highlight w:val="none"/>
              </w:rPr>
            </w:r>
            <w:r/>
          </w:p>
        </w:tc>
        <w:tc>
          <w:tcPr>
            <w:tcW w:w="198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包括但不限于云防火墙、WAF、主机安全、数据库审计、日志审计等</w:t>
            </w:r>
            <w:r>
              <w:rPr>
                <w:rFonts w:hint="eastAsia" w:ascii="宋体" w:hAnsi="宋体" w:eastAsia="宋体" w:cs="宋体"/>
                <w:color w:val="000000"/>
                <w:sz w:val="21"/>
                <w:szCs w:val="21"/>
                <w:highlight w:val="none"/>
              </w:rPr>
            </w:r>
            <w:r/>
          </w:p>
        </w:tc>
        <w:tc>
          <w:tcPr>
            <w:tcW w:w="12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1套</w:t>
            </w:r>
            <w:r>
              <w:rPr>
                <w:rFonts w:hint="eastAsia" w:ascii="宋体" w:hAnsi="宋体" w:eastAsia="宋体" w:cs="宋体"/>
                <w:color w:val="000000"/>
                <w:sz w:val="21"/>
                <w:szCs w:val="21"/>
                <w:highlight w:val="none"/>
              </w:rPr>
            </w:r>
            <w:r/>
          </w:p>
        </w:tc>
        <w:tc>
          <w:tcPr>
            <w:tcW w:w="153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复用政务云统一安全资源池，满足项目要求</w:t>
            </w:r>
            <w:r>
              <w:rPr>
                <w:rFonts w:hint="eastAsia" w:ascii="宋体" w:hAnsi="宋体" w:eastAsia="宋体" w:cs="宋体"/>
                <w:color w:val="000000"/>
                <w:sz w:val="21"/>
                <w:szCs w:val="21"/>
                <w:highlight w:val="none"/>
              </w:rPr>
            </w:r>
            <w:r/>
          </w:p>
        </w:tc>
      </w:tr>
      <w:tr>
        <w:trPr>
          <w:trHeight w:val="810"/>
        </w:trPr>
        <w:tc>
          <w:tcPr>
            <w:tcW w:w="9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785" w:type="dxa"/>
            <w:vAlign w:val="center"/>
            <w:vMerge w:val="restart"/>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系统软件</w:t>
            </w:r>
            <w:r>
              <w:rPr>
                <w:rFonts w:hint="eastAsia" w:ascii="宋体" w:hAnsi="宋体" w:eastAsia="宋体" w:cs="宋体"/>
                <w:b/>
                <w:bCs/>
                <w:color w:val="000000"/>
                <w:sz w:val="21"/>
                <w:szCs w:val="21"/>
                <w:highlight w:val="none"/>
              </w:rPr>
            </w:r>
            <w:r/>
          </w:p>
        </w:tc>
        <w:tc>
          <w:tcPr>
            <w:tcW w:w="163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操作系统</w:t>
            </w:r>
            <w:r>
              <w:rPr>
                <w:rFonts w:hint="eastAsia" w:ascii="宋体" w:hAnsi="宋体" w:eastAsia="宋体" w:cs="宋体"/>
                <w:color w:val="000000"/>
                <w:sz w:val="21"/>
                <w:szCs w:val="21"/>
                <w:highlight w:val="none"/>
              </w:rPr>
            </w:r>
            <w:r/>
          </w:p>
        </w:tc>
        <w:tc>
          <w:tcPr>
            <w:tcW w:w="198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符合国家安全可靠测评要求的服务器操作系统</w:t>
            </w:r>
            <w:r>
              <w:rPr>
                <w:rFonts w:hint="eastAsia" w:ascii="宋体" w:hAnsi="宋体" w:eastAsia="宋体" w:cs="宋体"/>
                <w:color w:val="000000"/>
                <w:sz w:val="21"/>
                <w:szCs w:val="21"/>
                <w:highlight w:val="none"/>
              </w:rPr>
            </w:r>
            <w:r/>
          </w:p>
        </w:tc>
        <w:tc>
          <w:tcPr>
            <w:tcW w:w="12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5套</w:t>
            </w:r>
            <w:r>
              <w:rPr>
                <w:rFonts w:hint="eastAsia" w:ascii="宋体" w:hAnsi="宋体" w:eastAsia="宋体" w:cs="宋体"/>
                <w:color w:val="000000"/>
                <w:sz w:val="21"/>
                <w:szCs w:val="21"/>
                <w:highlight w:val="none"/>
              </w:rPr>
            </w:r>
            <w:r/>
          </w:p>
        </w:tc>
        <w:tc>
          <w:tcPr>
            <w:tcW w:w="153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装于5台云主机</w:t>
            </w:r>
            <w:r>
              <w:rPr>
                <w:rFonts w:hint="eastAsia" w:ascii="宋体" w:hAnsi="宋体" w:eastAsia="宋体" w:cs="宋体"/>
                <w:color w:val="000000"/>
                <w:sz w:val="21"/>
                <w:szCs w:val="21"/>
                <w:highlight w:val="none"/>
              </w:rPr>
            </w:r>
            <w:r/>
          </w:p>
        </w:tc>
      </w:tr>
      <w:tr>
        <w:trPr>
          <w:trHeight w:val="810"/>
        </w:trPr>
        <w:tc>
          <w:tcPr>
            <w:tcW w:w="9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785" w:type="dxa"/>
            <w:vAlign w:val="center"/>
            <w:vMerge w:val="continue"/>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63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数据库软件</w:t>
            </w:r>
            <w:r>
              <w:rPr>
                <w:rFonts w:hint="eastAsia" w:ascii="宋体" w:hAnsi="宋体" w:eastAsia="宋体" w:cs="宋体"/>
                <w:color w:val="000000"/>
                <w:sz w:val="21"/>
                <w:szCs w:val="21"/>
                <w:highlight w:val="none"/>
              </w:rPr>
            </w:r>
            <w:r/>
          </w:p>
        </w:tc>
        <w:tc>
          <w:tcPr>
            <w:tcW w:w="198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符合国家安全可靠测评要求的集中式数据库</w:t>
            </w:r>
            <w:r>
              <w:rPr>
                <w:rFonts w:hint="eastAsia" w:ascii="宋体" w:hAnsi="宋体" w:eastAsia="宋体" w:cs="宋体"/>
                <w:color w:val="000000"/>
                <w:sz w:val="21"/>
                <w:szCs w:val="21"/>
                <w:highlight w:val="none"/>
              </w:rPr>
            </w:r>
            <w:r/>
          </w:p>
        </w:tc>
        <w:tc>
          <w:tcPr>
            <w:tcW w:w="12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1套</w:t>
            </w:r>
            <w:r>
              <w:rPr>
                <w:rFonts w:hint="eastAsia" w:ascii="宋体" w:hAnsi="宋体" w:eastAsia="宋体" w:cs="宋体"/>
                <w:color w:val="000000"/>
                <w:sz w:val="21"/>
                <w:szCs w:val="21"/>
                <w:highlight w:val="none"/>
              </w:rPr>
            </w:r>
            <w:r/>
          </w:p>
        </w:tc>
        <w:tc>
          <w:tcPr>
            <w:tcW w:w="153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部署于数据库服务器</w:t>
            </w:r>
            <w:r>
              <w:rPr>
                <w:rFonts w:hint="eastAsia" w:ascii="宋体" w:hAnsi="宋体" w:eastAsia="宋体" w:cs="宋体"/>
                <w:color w:val="000000"/>
                <w:sz w:val="21"/>
                <w:szCs w:val="21"/>
                <w:highlight w:val="none"/>
              </w:rPr>
            </w:r>
            <w:r/>
          </w:p>
        </w:tc>
      </w:tr>
      <w:tr>
        <w:trPr>
          <w:trHeight w:val="810"/>
        </w:trPr>
        <w:tc>
          <w:tcPr>
            <w:tcW w:w="990"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785" w:type="dxa"/>
            <w:vAlign w:val="center"/>
            <w:vMerge w:val="continue"/>
            <w:textDirection w:val="lrTb"/>
            <w:noWrap w:val="false"/>
          </w:tcPr>
          <w:p>
            <w:pPr>
              <w:pStyle w:val="973"/>
              <w:ind w:left="0" w:firstLine="0"/>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635"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中间件</w:t>
            </w:r>
            <w:r>
              <w:rPr>
                <w:rFonts w:hint="eastAsia" w:ascii="宋体" w:hAnsi="宋体" w:eastAsia="宋体" w:cs="宋体"/>
                <w:color w:val="000000"/>
                <w:sz w:val="21"/>
                <w:szCs w:val="21"/>
                <w:highlight w:val="none"/>
              </w:rPr>
            </w:r>
            <w:r/>
          </w:p>
        </w:tc>
        <w:tc>
          <w:tcPr>
            <w:tcW w:w="1988"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符合国家安全可靠测评要求的应用服务器中间件</w:t>
            </w:r>
            <w:r>
              <w:rPr>
                <w:rFonts w:hint="eastAsia" w:ascii="宋体" w:hAnsi="宋体" w:eastAsia="宋体" w:cs="宋体"/>
                <w:color w:val="000000"/>
                <w:sz w:val="21"/>
                <w:szCs w:val="21"/>
                <w:highlight w:val="none"/>
              </w:rPr>
            </w:r>
            <w:r/>
          </w:p>
        </w:tc>
        <w:tc>
          <w:tcPr>
            <w:tcW w:w="1261"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1套</w:t>
            </w:r>
            <w:r>
              <w:rPr>
                <w:rFonts w:hint="eastAsia" w:ascii="宋体" w:hAnsi="宋体" w:eastAsia="宋体" w:cs="宋体"/>
                <w:color w:val="000000"/>
                <w:sz w:val="21"/>
                <w:szCs w:val="21"/>
                <w:highlight w:val="none"/>
              </w:rPr>
            </w:r>
            <w:r/>
          </w:p>
        </w:tc>
        <w:tc>
          <w:tcPr>
            <w:tcW w:w="1534" w:type="dxa"/>
            <w:vAlign w:val="center"/>
            <w:textDirection w:val="lrTb"/>
            <w:noWrap w:val="false"/>
          </w:tcPr>
          <w:p>
            <w:pPr>
              <w:pStyle w:val="973"/>
              <w:ind w:left="0" w:firstLine="0"/>
              <w:jc w:val="cente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部署于应用服务器</w:t>
            </w:r>
            <w:r>
              <w:rPr>
                <w:rFonts w:hint="eastAsia" w:ascii="宋体" w:hAnsi="宋体" w:eastAsia="宋体" w:cs="宋体"/>
                <w:color w:val="000000"/>
                <w:sz w:val="21"/>
                <w:szCs w:val="21"/>
                <w:highlight w:val="none"/>
              </w:rPr>
            </w:r>
            <w:r/>
          </w:p>
        </w:tc>
      </w:tr>
    </w:tbl>
    <w:p>
      <w:pPr>
        <w:pStyle w:val="973"/>
        <w:numPr>
          <w:ilvl w:val="0"/>
          <w:numId w:val="0"/>
        </w:numPr>
        <w:ind w:left="0"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十、演示要求</w:t>
      </w:r>
      <w:r>
        <w:rPr>
          <w:rFonts w:hint="eastAsia" w:ascii="宋体" w:hAnsi="宋体" w:eastAsia="宋体" w:cs="宋体"/>
          <w:b/>
          <w:bCs w:val="0"/>
          <w:sz w:val="21"/>
          <w:szCs w:val="21"/>
          <w:highlight w:val="none"/>
          <w:lang w:val="en-US" w:eastAsia="zh-CN" w:bidi="ar-SA"/>
        </w:rPr>
      </w:r>
      <w:r/>
    </w:p>
    <w:p>
      <w:pPr>
        <w:pStyle w:val="973"/>
        <w:numPr>
          <w:ilvl w:val="0"/>
          <w:numId w:val="0"/>
        </w:numPr>
        <w:ind w:left="0" w:firstLine="420"/>
        <w:jc w:val="both"/>
        <w:pageBreakBefore w:val="0"/>
        <w:spacing w:line="440" w:lineRule="exact"/>
        <w:widowControl w:val="off"/>
        <w:rPr>
          <w:rFonts w:hint="eastAsia" w:ascii="宋体" w:hAnsi="宋体" w:eastAsia="宋体" w:cs="宋体"/>
          <w:i w:val="0"/>
          <w:iCs w:val="0"/>
          <w:color w:val="000000"/>
          <w:sz w:val="21"/>
          <w:szCs w:val="21"/>
          <w:highlight w:val="none"/>
          <w:u w:val="none"/>
          <w:lang w:val="en-US" w:eastAsia="zh-CN" w:bidi="ar"/>
        </w:rPr>
        <w:outlineLvl w:val="1"/>
      </w:pPr>
      <w:r>
        <w:rPr>
          <w:rFonts w:hint="eastAsia" w:ascii="宋体" w:hAnsi="宋体" w:eastAsia="宋体" w:cs="宋体"/>
          <w:i w:val="0"/>
          <w:iCs w:val="0"/>
          <w:color w:val="000000"/>
          <w:sz w:val="21"/>
          <w:szCs w:val="21"/>
          <w:highlight w:val="none"/>
          <w:u w:val="none"/>
          <w:lang w:val="en-US" w:eastAsia="zh-CN" w:bidi="ar"/>
        </w:rPr>
        <w:t xml:space="preserve">招标文件的采购需求，供应商提供真实软件的视频展示，且演示的底图需为仪征市地图；以ppt、系统原型或其他非功能系统演示方式不得分，视频帧须保持前后连续性，不得使用剪辑嫁接后期制作而成），如不按以上要求摄录，视频演示不得分；演示时长不超过15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    1、排水综合管理专项平台（GIS综合管理平台）的内置GIS地图包含三种，包含但不限于：矢量地图、卫星影像地图、地形图；且支持三种底图无缝切换。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    2、排水综合管理专项平台（GIS综合管理平台）监测对象包含：仪征市的河湖、入河排口、排水户排口、雨水管网、污水管网、泵站、闸门、污水处理厂；每一个监测对象均设置为一个独有的图层，且可以通过勾选的方式进行图层筛选，快速筛选出对应的监测对象。</w:t>
      </w:r>
      <w:r>
        <w:rPr>
          <w:rFonts w:hint="eastAsia" w:ascii="宋体" w:hAnsi="宋体" w:eastAsia="宋体" w:cs="宋体"/>
          <w:i w:val="0"/>
          <w:iCs w:val="0"/>
          <w:color w:val="000000"/>
          <w:sz w:val="21"/>
          <w:szCs w:val="21"/>
          <w:highlight w:val="none"/>
          <w:u w:val="none"/>
          <w:lang w:val="en-US" w:eastAsia="zh-CN" w:bidi="ar"/>
        </w:rPr>
      </w:r>
      <w:r/>
    </w:p>
    <w:p>
      <w:pPr>
        <w:pStyle w:val="973"/>
        <w:numPr>
          <w:ilvl w:val="0"/>
          <w:numId w:val="0"/>
        </w:numPr>
        <w:ind w:left="0" w:firstLine="420"/>
        <w:jc w:val="both"/>
        <w:pageBreakBefore w:val="0"/>
        <w:spacing w:line="440" w:lineRule="exact"/>
        <w:widowControl w:val="off"/>
        <w:rPr>
          <w:rFonts w:hint="eastAsia" w:ascii="宋体" w:hAnsi="宋体" w:eastAsia="宋体" w:cs="宋体"/>
          <w:i w:val="0"/>
          <w:iCs w:val="0"/>
          <w:color w:val="000000"/>
          <w:sz w:val="21"/>
          <w:szCs w:val="21"/>
          <w:highlight w:val="none"/>
          <w:u w:val="none"/>
          <w:lang w:val="en-US" w:eastAsia="zh-CN" w:bidi="ar"/>
        </w:rPr>
        <w:outlineLvl w:val="1"/>
      </w:pPr>
      <w:r>
        <w:rPr>
          <w:rFonts w:hint="eastAsia" w:ascii="宋体" w:hAnsi="宋体" w:eastAsia="宋体" w:cs="宋体"/>
          <w:i w:val="0"/>
          <w:iCs w:val="0"/>
          <w:color w:val="000000"/>
          <w:sz w:val="21"/>
          <w:szCs w:val="21"/>
          <w:highlight w:val="none"/>
          <w:u w:val="none"/>
          <w:lang w:val="en-US" w:eastAsia="zh-CN" w:bidi="ar"/>
        </w:rPr>
        <w:t xml:space="preserve">3、排水综合管理专项平台（GIS综合管理平台）支持对监测范围进行GIS展示；监测范围包含：雨水系统、污水系统。雨水系统为单独一个图层，能显示仪征各个合流的雨水流向和收水范围，污水系统为单独一个图层，能显示各个管理片区的污水收水范围。        </w:t>
      </w:r>
      <w:r>
        <w:rPr>
          <w:rFonts w:hint="eastAsia" w:ascii="宋体" w:hAnsi="宋体" w:eastAsia="宋体" w:cs="宋体"/>
          <w:i w:val="0"/>
          <w:iCs w:val="0"/>
          <w:color w:val="000000"/>
          <w:sz w:val="21"/>
          <w:szCs w:val="21"/>
          <w:highlight w:val="none"/>
          <w:u w:val="none"/>
          <w:lang w:val="en-US" w:eastAsia="zh-CN" w:bidi="ar"/>
        </w:rPr>
      </w:r>
      <w:r/>
    </w:p>
    <w:p>
      <w:pPr>
        <w:pStyle w:val="973"/>
        <w:numPr>
          <w:ilvl w:val="0"/>
          <w:numId w:val="0"/>
        </w:numPr>
        <w:ind w:left="0" w:firstLine="420"/>
        <w:jc w:val="both"/>
        <w:pageBreakBefore w:val="0"/>
        <w:spacing w:line="440" w:lineRule="exact"/>
        <w:widowControl w:val="off"/>
        <w:rPr>
          <w:rFonts w:hint="eastAsia" w:ascii="宋体" w:hAnsi="宋体" w:eastAsia="宋体" w:cs="宋体"/>
          <w:i w:val="0"/>
          <w:iCs w:val="0"/>
          <w:color w:val="000000"/>
          <w:sz w:val="21"/>
          <w:szCs w:val="21"/>
          <w:highlight w:val="none"/>
          <w:u w:val="none"/>
          <w:lang w:val="en-US" w:eastAsia="zh-CN" w:bidi="ar"/>
        </w:rPr>
        <w:outlineLvl w:val="1"/>
      </w:pPr>
      <w:r>
        <w:rPr>
          <w:rFonts w:hint="eastAsia" w:ascii="宋体" w:hAnsi="宋体" w:eastAsia="宋体" w:cs="宋体"/>
          <w:i w:val="0"/>
          <w:iCs w:val="0"/>
          <w:color w:val="000000"/>
          <w:sz w:val="21"/>
          <w:szCs w:val="21"/>
          <w:highlight w:val="none"/>
          <w:u w:val="none"/>
          <w:lang w:val="en-US" w:eastAsia="zh-CN" w:bidi="ar"/>
        </w:rPr>
        <w:t xml:space="preserve">4、排水综合管理专项平台（GIS综合管理平台）支持对数据报告进行GIS展示；数据报告包含：水质报告、液位报告。按类别按颜色（红、橙、黄、蓝）对数据报告进行分级分类展示，每一类数据报告均设置为一个独有的图层，且可以通过勾选的方式进行图层筛选，快速筛选出对应的数据报告。</w:t>
      </w:r>
      <w:r>
        <w:rPr>
          <w:rFonts w:hint="eastAsia" w:ascii="宋体" w:hAnsi="宋体" w:eastAsia="宋体" w:cs="宋体"/>
          <w:i w:val="0"/>
          <w:iCs w:val="0"/>
          <w:color w:val="000000"/>
          <w:sz w:val="21"/>
          <w:szCs w:val="21"/>
          <w:highlight w:val="none"/>
          <w:u w:val="none"/>
          <w:lang w:val="en-US" w:eastAsia="zh-CN" w:bidi="ar"/>
        </w:rPr>
      </w:r>
      <w:r/>
    </w:p>
    <w:p>
      <w:pPr>
        <w:pStyle w:val="973"/>
        <w:numPr>
          <w:ilvl w:val="0"/>
          <w:numId w:val="0"/>
        </w:numPr>
        <w:ind w:left="0" w:firstLine="420"/>
        <w:jc w:val="both"/>
        <w:pageBreakBefore w:val="0"/>
        <w:spacing w:line="440" w:lineRule="exact"/>
        <w:widowControl w:val="off"/>
        <w:rPr>
          <w:rFonts w:hint="eastAsia" w:ascii="宋体" w:hAnsi="宋体" w:eastAsia="宋体" w:cs="宋体"/>
          <w:i w:val="0"/>
          <w:iCs w:val="0"/>
          <w:color w:val="000000"/>
          <w:sz w:val="21"/>
          <w:szCs w:val="21"/>
          <w:highlight w:val="none"/>
          <w:u w:val="none"/>
          <w:lang w:val="en-US" w:eastAsia="zh-CN" w:bidi="ar"/>
        </w:rPr>
        <w:outlineLvl w:val="1"/>
      </w:pPr>
      <w:r>
        <w:rPr>
          <w:rFonts w:hint="eastAsia" w:ascii="宋体" w:hAnsi="宋体" w:eastAsia="宋体" w:cs="宋体"/>
          <w:i w:val="0"/>
          <w:iCs w:val="0"/>
          <w:color w:val="000000"/>
          <w:sz w:val="21"/>
          <w:szCs w:val="21"/>
          <w:highlight w:val="none"/>
          <w:u w:val="none"/>
          <w:lang w:val="en-US" w:eastAsia="zh-CN" w:bidi="ar"/>
        </w:rPr>
        <w:t xml:space="preserve">5、入河排口图层展示的数据能够充分展示当地入河排口的基本项目情况包含：排口标识码、排水系统编码、经纬度、底部高程、出流方式、排口名称、断面数据、地表高程、排放口关键水质指标COD。</w:t>
      </w:r>
      <w:r>
        <w:rPr>
          <w:rFonts w:hint="eastAsia" w:ascii="宋体" w:hAnsi="宋体" w:eastAsia="宋体" w:cs="宋体"/>
          <w:i w:val="0"/>
          <w:iCs w:val="0"/>
          <w:color w:val="000000"/>
          <w:sz w:val="21"/>
          <w:szCs w:val="21"/>
          <w:highlight w:val="none"/>
          <w:u w:val="none"/>
          <w:lang w:val="en-US" w:eastAsia="zh-CN" w:bidi="ar"/>
        </w:rPr>
      </w:r>
      <w:r/>
    </w:p>
    <w:p>
      <w:pPr>
        <w:pStyle w:val="973"/>
        <w:numPr>
          <w:ilvl w:val="0"/>
          <w:numId w:val="0"/>
        </w:numPr>
        <w:ind w:left="0" w:firstLine="420"/>
        <w:jc w:val="both"/>
        <w:pageBreakBefore w:val="0"/>
        <w:spacing w:line="440" w:lineRule="exact"/>
        <w:widowControl w:val="off"/>
        <w:rPr>
          <w:rFonts w:hint="eastAsia" w:ascii="宋体" w:hAnsi="宋体" w:eastAsia="宋体" w:cs="宋体"/>
          <w:i w:val="0"/>
          <w:iCs w:val="0"/>
          <w:color w:val="000000"/>
          <w:sz w:val="21"/>
          <w:szCs w:val="21"/>
          <w:highlight w:val="none"/>
          <w:u w:val="none"/>
          <w:lang w:val="en-US" w:eastAsia="zh-CN" w:bidi="ar"/>
        </w:rPr>
        <w:outlineLvl w:val="1"/>
      </w:pPr>
      <w:r>
        <w:rPr>
          <w:rFonts w:hint="eastAsia" w:ascii="宋体" w:hAnsi="宋体" w:eastAsia="宋体" w:cs="宋体"/>
          <w:i w:val="0"/>
          <w:iCs w:val="0"/>
          <w:color w:val="000000"/>
          <w:sz w:val="21"/>
          <w:szCs w:val="21"/>
          <w:highlight w:val="none"/>
          <w:u w:val="none"/>
          <w:lang w:val="en-US" w:eastAsia="zh-CN" w:bidi="ar"/>
        </w:rPr>
        <w:t xml:space="preserve">6、泵站拓扑图层展示的数据能够充分展示当地泵站的拓扑关系，能显示各个泵站在GIS的定位。拓扑图层能动态展示污水如何从四级泵站经过三级、二级、一级泵站流向污水处理厂，拓扑图能动态显示污水流向。</w:t>
      </w:r>
      <w:r>
        <w:rPr>
          <w:rFonts w:hint="eastAsia" w:ascii="宋体" w:hAnsi="宋体" w:eastAsia="宋体" w:cs="宋体"/>
          <w:i w:val="0"/>
          <w:iCs w:val="0"/>
          <w:color w:val="000000"/>
          <w:sz w:val="21"/>
          <w:szCs w:val="21"/>
          <w:highlight w:val="none"/>
          <w:u w:val="none"/>
          <w:lang w:val="en-US" w:eastAsia="zh-CN" w:bidi="ar"/>
        </w:rPr>
      </w:r>
      <w:r/>
    </w:p>
    <w:p>
      <w:pPr>
        <w:pStyle w:val="973"/>
        <w:numPr>
          <w:ilvl w:val="0"/>
          <w:numId w:val="0"/>
        </w:numPr>
        <w:ind w:left="0"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十一、项目实施要求</w:t>
      </w:r>
      <w:r>
        <w:rPr>
          <w:rFonts w:hint="eastAsia" w:ascii="宋体" w:hAnsi="宋体" w:eastAsia="宋体" w:cs="宋体"/>
          <w:b/>
          <w:bCs w:val="0"/>
          <w:sz w:val="21"/>
          <w:szCs w:val="21"/>
          <w:highlight w:val="none"/>
          <w:lang w:val="en-US" w:eastAsia="zh-CN" w:bidi="ar-SA"/>
        </w:rPr>
      </w:r>
      <w:r/>
    </w:p>
    <w:p>
      <w:pPr>
        <w:pStyle w:val="973"/>
        <w:numPr>
          <w:ilvl w:val="0"/>
          <w:numId w:val="0"/>
        </w:numPr>
        <w:ind w:left="0"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1、组织保障要求</w:t>
      </w:r>
      <w:r>
        <w:rPr>
          <w:rFonts w:hint="eastAsia" w:ascii="宋体" w:hAnsi="宋体" w:eastAsia="宋体" w:cs="宋体"/>
          <w:b/>
          <w:bCs w:val="0"/>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为确保本项目顺利实施和长效运行，</w:t>
      </w:r>
      <w:r>
        <w:rPr>
          <w:rFonts w:hint="eastAsia" w:ascii="宋体" w:hAnsi="宋体" w:eastAsia="宋体" w:cs="宋体"/>
          <w:sz w:val="21"/>
          <w:szCs w:val="21"/>
          <w:highlight w:val="none"/>
          <w:lang w:val="en-US" w:eastAsia="zh-CN"/>
        </w:rPr>
        <w:t xml:space="preserve">要求</w:t>
      </w:r>
      <w:r>
        <w:rPr>
          <w:rFonts w:hint="eastAsia" w:ascii="宋体" w:hAnsi="宋体" w:eastAsia="宋体" w:cs="宋体"/>
          <w:sz w:val="21"/>
          <w:szCs w:val="21"/>
          <w:highlight w:val="none"/>
        </w:rPr>
        <w:t xml:space="preserve">建立三级组织管理体系：</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（1）项目领导小组</w:t>
      </w:r>
      <w:r>
        <w:rPr>
          <w:rFonts w:hint="eastAsia" w:ascii="宋体" w:hAnsi="宋体" w:eastAsia="宋体" w:cs="宋体"/>
          <w:sz w:val="21"/>
          <w:szCs w:val="21"/>
          <w:highlight w:val="none"/>
        </w:rPr>
      </w:r>
      <w:r/>
    </w:p>
    <w:p>
      <w:pPr>
        <w:pStyle w:val="973"/>
        <w:numPr>
          <w:ilvl w:val="0"/>
          <w:numId w:val="30"/>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审定项目总体方案和重大变更</w:t>
      </w:r>
      <w:r>
        <w:rPr>
          <w:rFonts w:hint="eastAsia" w:ascii="宋体" w:hAnsi="宋体" w:eastAsia="宋体" w:cs="宋体"/>
          <w:sz w:val="21"/>
          <w:szCs w:val="21"/>
          <w:highlight w:val="none"/>
          <w:lang w:val="en-US" w:eastAsia="zh-CN" w:bidi="ar-SA"/>
        </w:rPr>
      </w:r>
      <w:r/>
    </w:p>
    <w:p>
      <w:pPr>
        <w:pStyle w:val="973"/>
        <w:numPr>
          <w:ilvl w:val="0"/>
          <w:numId w:val="30"/>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协调跨部门数据共享和业务协同</w:t>
      </w:r>
      <w:r>
        <w:rPr>
          <w:rFonts w:hint="eastAsia" w:ascii="宋体" w:hAnsi="宋体" w:eastAsia="宋体" w:cs="宋体"/>
          <w:sz w:val="21"/>
          <w:szCs w:val="21"/>
          <w:highlight w:val="none"/>
          <w:lang w:val="en-US" w:eastAsia="zh-CN" w:bidi="ar-SA"/>
        </w:rPr>
      </w:r>
      <w:r/>
    </w:p>
    <w:p>
      <w:pPr>
        <w:pStyle w:val="973"/>
        <w:numPr>
          <w:ilvl w:val="0"/>
          <w:numId w:val="30"/>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组织项目验收</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（2）项目实施机构</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由中标单位组建项目实施团队，项目经理全面负责。实施机构职责：</w:t>
      </w:r>
      <w:r>
        <w:rPr>
          <w:rFonts w:hint="eastAsia" w:ascii="宋体" w:hAnsi="宋体" w:eastAsia="宋体" w:cs="宋体"/>
          <w:sz w:val="21"/>
          <w:szCs w:val="21"/>
          <w:highlight w:val="none"/>
        </w:rPr>
      </w:r>
      <w:r/>
    </w:p>
    <w:p>
      <w:pPr>
        <w:pStyle w:val="973"/>
        <w:numPr>
          <w:ilvl w:val="0"/>
          <w:numId w:val="30"/>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按照合同要求完成平台开发、硬件安装、数据治理</w:t>
      </w:r>
      <w:r>
        <w:rPr>
          <w:rFonts w:hint="eastAsia" w:ascii="宋体" w:hAnsi="宋体" w:eastAsia="宋体" w:cs="宋体"/>
          <w:sz w:val="21"/>
          <w:szCs w:val="21"/>
          <w:highlight w:val="none"/>
          <w:lang w:val="en-US" w:eastAsia="zh-CN" w:bidi="ar-SA"/>
        </w:rPr>
      </w:r>
      <w:r/>
    </w:p>
    <w:p>
      <w:pPr>
        <w:pStyle w:val="973"/>
        <w:numPr>
          <w:ilvl w:val="0"/>
          <w:numId w:val="30"/>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定期向领导小组汇报项目进展</w:t>
      </w:r>
      <w:r>
        <w:rPr>
          <w:rFonts w:hint="eastAsia" w:ascii="宋体" w:hAnsi="宋体" w:eastAsia="宋体" w:cs="宋体"/>
          <w:sz w:val="21"/>
          <w:szCs w:val="21"/>
          <w:highlight w:val="none"/>
          <w:lang w:val="en-US" w:eastAsia="zh-CN" w:bidi="ar-SA"/>
        </w:rPr>
      </w:r>
      <w:r/>
    </w:p>
    <w:p>
      <w:pPr>
        <w:pStyle w:val="973"/>
        <w:numPr>
          <w:ilvl w:val="0"/>
          <w:numId w:val="30"/>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配合开展项目测试、培训、验收</w:t>
      </w:r>
      <w:r>
        <w:rPr>
          <w:rFonts w:hint="eastAsia" w:ascii="宋体" w:hAnsi="宋体" w:eastAsia="宋体" w:cs="宋体"/>
          <w:sz w:val="21"/>
          <w:szCs w:val="21"/>
          <w:highlight w:val="none"/>
          <w:lang w:val="en-US" w:eastAsia="zh-CN" w:bidi="ar-SA"/>
        </w:rPr>
      </w:r>
      <w:r/>
    </w:p>
    <w:p>
      <w:pPr>
        <w:pStyle w:val="973"/>
        <w:numPr>
          <w:ilvl w:val="0"/>
          <w:numId w:val="30"/>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确保项目文档齐全规范</w:t>
      </w:r>
      <w:r>
        <w:rPr>
          <w:rFonts w:hint="eastAsia" w:ascii="宋体" w:hAnsi="宋体" w:eastAsia="宋体" w:cs="宋体"/>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（3）项目运维机构</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中标单位驻场团队负责日常运维，市住建局信息中心负责监督考核。运维机构职责：</w:t>
      </w:r>
      <w:r>
        <w:rPr>
          <w:rFonts w:hint="eastAsia" w:ascii="宋体" w:hAnsi="宋体" w:eastAsia="宋体" w:cs="宋体"/>
          <w:sz w:val="21"/>
          <w:szCs w:val="21"/>
          <w:highlight w:val="none"/>
        </w:rPr>
      </w:r>
      <w:r/>
    </w:p>
    <w:p>
      <w:pPr>
        <w:pStyle w:val="973"/>
        <w:numPr>
          <w:ilvl w:val="0"/>
          <w:numId w:val="30"/>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保障系统7×24小时稳定运行</w:t>
      </w:r>
      <w:r>
        <w:rPr>
          <w:rFonts w:hint="eastAsia" w:ascii="宋体" w:hAnsi="宋体" w:eastAsia="宋体" w:cs="宋体"/>
          <w:sz w:val="21"/>
          <w:szCs w:val="21"/>
          <w:highlight w:val="none"/>
          <w:lang w:val="en-US" w:eastAsia="zh-CN" w:bidi="ar-SA"/>
        </w:rPr>
      </w:r>
      <w:r/>
    </w:p>
    <w:p>
      <w:pPr>
        <w:pStyle w:val="973"/>
        <w:numPr>
          <w:ilvl w:val="0"/>
          <w:numId w:val="30"/>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及时响应和处理系统故障</w:t>
      </w:r>
      <w:r>
        <w:rPr>
          <w:rFonts w:hint="eastAsia" w:ascii="宋体" w:hAnsi="宋体" w:eastAsia="宋体" w:cs="宋体"/>
          <w:sz w:val="21"/>
          <w:szCs w:val="21"/>
          <w:highlight w:val="none"/>
          <w:lang w:val="en-US" w:eastAsia="zh-CN" w:bidi="ar-SA"/>
        </w:rPr>
      </w:r>
      <w:r/>
    </w:p>
    <w:p>
      <w:pPr>
        <w:pStyle w:val="973"/>
        <w:numPr>
          <w:ilvl w:val="0"/>
          <w:numId w:val="30"/>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持续开展数据更新和模型优化</w:t>
      </w:r>
      <w:r>
        <w:rPr>
          <w:rFonts w:hint="eastAsia" w:ascii="宋体" w:hAnsi="宋体" w:eastAsia="宋体" w:cs="宋体"/>
          <w:sz w:val="21"/>
          <w:szCs w:val="21"/>
          <w:highlight w:val="none"/>
          <w:lang w:val="en-US" w:eastAsia="zh-CN" w:bidi="ar-SA"/>
        </w:rPr>
      </w:r>
      <w:r/>
    </w:p>
    <w:p>
      <w:pPr>
        <w:pStyle w:val="973"/>
        <w:numPr>
          <w:ilvl w:val="0"/>
          <w:numId w:val="30"/>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组织用户培训和答疑</w:t>
      </w:r>
      <w:r>
        <w:rPr>
          <w:rFonts w:hint="eastAsia" w:ascii="宋体" w:hAnsi="宋体" w:eastAsia="宋体" w:cs="宋体"/>
          <w:sz w:val="21"/>
          <w:szCs w:val="21"/>
          <w:highlight w:val="none"/>
          <w:lang w:val="en-US" w:eastAsia="zh-CN" w:bidi="ar-SA"/>
        </w:rPr>
      </w:r>
      <w:r/>
    </w:p>
    <w:p>
      <w:pPr>
        <w:pStyle w:val="973"/>
        <w:numPr>
          <w:ilvl w:val="0"/>
          <w:numId w:val="30"/>
        </w:numPr>
        <w:ind w:left="0" w:firstLine="420"/>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接受季度考核并改进服务</w:t>
      </w:r>
      <w:r>
        <w:rPr>
          <w:rFonts w:hint="eastAsia" w:ascii="宋体" w:hAnsi="宋体" w:eastAsia="宋体" w:cs="宋体"/>
          <w:sz w:val="21"/>
          <w:szCs w:val="21"/>
          <w:highlight w:val="none"/>
          <w:lang w:val="en-US" w:eastAsia="zh-CN" w:bidi="ar-SA"/>
        </w:rPr>
      </w:r>
      <w:r/>
    </w:p>
    <w:p>
      <w:pPr>
        <w:pStyle w:val="973"/>
        <w:ind w:left="0" w:firstLine="420"/>
        <w:jc w:val="left"/>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1"/>
      </w:pPr>
      <w:r/>
      <w:bookmarkStart w:id="76" w:name="_Toc9621"/>
      <w:r>
        <w:rPr>
          <w:rFonts w:hint="eastAsia" w:ascii="宋体" w:hAnsi="宋体" w:eastAsia="宋体" w:cs="宋体"/>
          <w:b w:val="0"/>
          <w:bCs/>
          <w:sz w:val="21"/>
          <w:szCs w:val="21"/>
          <w:highlight w:val="none"/>
          <w:lang w:val="en-US" w:eastAsia="zh-CN" w:bidi="ar-SA"/>
        </w:rPr>
        <w:t xml:space="preserve">2、技术力量和人员配置</w:t>
      </w:r>
      <w:bookmarkEnd w:id="76"/>
      <w:r>
        <w:rPr>
          <w:rFonts w:hint="eastAsia" w:ascii="宋体" w:hAnsi="宋体" w:eastAsia="宋体" w:cs="宋体"/>
          <w:b w:val="0"/>
          <w:bCs/>
          <w:sz w:val="21"/>
          <w:szCs w:val="21"/>
          <w:highlight w:val="none"/>
          <w:lang w:val="en-US" w:eastAsia="zh-CN" w:bidi="ar-SA"/>
        </w:rPr>
      </w:r>
      <w:r/>
    </w:p>
    <w:p>
      <w:pPr>
        <w:pStyle w:val="973"/>
        <w:numPr>
          <w:ilvl w:val="0"/>
          <w:numId w:val="0"/>
        </w:numPr>
        <w:jc w:val="both"/>
        <w:pageBreakBefore w:val="0"/>
        <w:spacing w:before="0" w:after="0" w:line="44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根据采购需求，市级排水综合管理平台人员配置要求：驻场开发及数据服务人员不少于5人，</w:t>
      </w:r>
      <w:r>
        <w:rPr>
          <w:rFonts w:hint="eastAsia" w:ascii="宋体" w:hAnsi="宋体" w:eastAsia="宋体" w:cs="宋体"/>
          <w:sz w:val="21"/>
          <w:szCs w:val="21"/>
          <w:highlight w:val="none"/>
          <w:lang w:val="en-US" w:eastAsia="zh-CN" w:bidi="ar-SA"/>
        </w:rPr>
      </w:r>
      <w:r/>
    </w:p>
    <w:p>
      <w:pPr>
        <w:pStyle w:val="973"/>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其他人员配置由中标单位根据实际情况进行合理安排。</w:t>
      </w:r>
      <w:r>
        <w:rPr>
          <w:rFonts w:hint="eastAsia" w:ascii="宋体" w:hAnsi="宋体" w:eastAsia="宋体" w:cs="宋体"/>
          <w:sz w:val="21"/>
          <w:szCs w:val="21"/>
          <w:highlight w:val="none"/>
        </w:rPr>
      </w:r>
      <w:r/>
    </w:p>
    <w:p>
      <w:pPr>
        <w:pStyle w:val="973"/>
        <w:ind w:left="0" w:firstLine="420"/>
        <w:jc w:val="left"/>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1"/>
      </w:pPr>
      <w:r/>
      <w:bookmarkStart w:id="77" w:name="_Toc27691"/>
      <w:r>
        <w:rPr>
          <w:rFonts w:hint="eastAsia" w:ascii="宋体" w:hAnsi="宋体" w:eastAsia="宋体" w:cs="宋体"/>
          <w:b w:val="0"/>
          <w:bCs/>
          <w:sz w:val="21"/>
          <w:szCs w:val="21"/>
          <w:highlight w:val="none"/>
          <w:lang w:val="en-US" w:eastAsia="zh-CN" w:bidi="ar-SA"/>
        </w:rPr>
        <w:t xml:space="preserve">3、项目建设的实施策略</w:t>
      </w:r>
      <w:bookmarkEnd w:id="77"/>
      <w:r>
        <w:rPr>
          <w:rFonts w:hint="eastAsia" w:ascii="宋体" w:hAnsi="宋体" w:eastAsia="宋体" w:cs="宋体"/>
          <w:b w:val="0"/>
          <w:bCs/>
          <w:sz w:val="21"/>
          <w:szCs w:val="21"/>
          <w:highlight w:val="none"/>
          <w:lang w:val="en-US" w:eastAsia="zh-CN" w:bidi="ar-SA"/>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（1）敏捷迭代，持续交付</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采用敏捷开发模式，每2周为一个迭代周期，与用户紧密沟通，及时响应用户需求变更。每个迭代结束向用户演示新增功能，收集反馈，确保系统始终贴合实际业务。</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（2）数据先行，质量为本</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项目启动后，立即开展历史数据治理工作，对东区普查数据、历年管线图纸、CCTV视频等进行抢救性整理。</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（3）培训贯穿，能力转移</w:t>
      </w:r>
      <w:r>
        <w:rPr>
          <w:rFonts w:hint="eastAsia" w:ascii="宋体" w:hAnsi="宋体" w:eastAsia="宋体" w:cs="宋体"/>
          <w:sz w:val="21"/>
          <w:szCs w:val="21"/>
          <w:highlight w:val="none"/>
        </w:rPr>
      </w:r>
      <w:r/>
    </w:p>
    <w:p>
      <w:pPr>
        <w:pStyle w:val="973"/>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面向不同用户角色（领导层、管理员、一线人员）开展多轮次培训：</w:t>
      </w:r>
      <w:r>
        <w:rPr>
          <w:rFonts w:hint="eastAsia" w:ascii="宋体" w:hAnsi="宋体" w:eastAsia="宋体" w:cs="宋体"/>
          <w:sz w:val="21"/>
          <w:szCs w:val="21"/>
          <w:highlight w:val="none"/>
        </w:rPr>
      </w:r>
      <w:r/>
    </w:p>
    <w:p>
      <w:pPr>
        <w:pStyle w:val="973"/>
        <w:numPr>
          <w:ilvl w:val="0"/>
          <w:numId w:val="11"/>
        </w:numPr>
        <w:ind w:left="0"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驻场服务，深度融合</w:t>
      </w:r>
      <w:r>
        <w:rPr>
          <w:rFonts w:hint="eastAsia" w:ascii="宋体" w:hAnsi="宋体" w:eastAsia="宋体" w:cs="宋体"/>
          <w:sz w:val="21"/>
          <w:szCs w:val="21"/>
          <w:highlight w:val="none"/>
        </w:rPr>
      </w:r>
      <w:r/>
    </w:p>
    <w:p>
      <w:pPr>
        <w:pStyle w:val="973"/>
        <w:numPr>
          <w:ilvl w:val="0"/>
          <w:numId w:val="0"/>
        </w:numPr>
        <w:ind w:firstLine="420"/>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驻场团队与用户同址办公，参与日常业务例会，深入了解业务流程和痛点。通过持续的现场互</w:t>
      </w:r>
      <w:r>
        <w:rPr>
          <w:rFonts w:hint="eastAsia" w:ascii="宋体" w:hAnsi="宋体" w:eastAsia="宋体" w:cs="宋体"/>
          <w:sz w:val="21"/>
          <w:szCs w:val="21"/>
          <w:highlight w:val="none"/>
        </w:rPr>
      </w:r>
      <w:r/>
    </w:p>
    <w:p>
      <w:pPr>
        <w:pStyle w:val="973"/>
        <w:keepLines w:val="0"/>
        <w:keepNext w:val="0"/>
        <w:pageBreakBefore w:val="0"/>
        <w:spacing w:line="440" w:lineRule="exact"/>
        <w:widowControl/>
        <w:tabs>
          <w:tab w:val="left" w:pos="23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动，多方验证数据品质，持续优化系统功能，实现“边研发边使用、边使用边完善”。</w:t>
      </w:r>
      <w:r>
        <w:rPr>
          <w:rFonts w:hint="eastAsia" w:ascii="宋体" w:hAnsi="宋体" w:eastAsia="宋体" w:cs="宋体"/>
          <w:sz w:val="21"/>
          <w:szCs w:val="21"/>
          <w:highlight w:val="none"/>
        </w:rPr>
      </w:r>
      <w:r/>
    </w:p>
    <w:p>
      <w:pPr>
        <w:pStyle w:val="973"/>
        <w:ind w:firstLine="420"/>
        <w:jc w:val="left"/>
        <w:keepLines/>
        <w:keepNext/>
        <w:pageBreakBefore w:val="0"/>
        <w:spacing w:before="0" w:after="0" w:line="440" w:lineRule="exact"/>
        <w:widowControl/>
        <w:rPr>
          <w:rFonts w:hint="eastAsia" w:ascii="宋体" w:hAnsi="宋体" w:eastAsia="宋体" w:cs="宋体"/>
          <w:b w:val="0"/>
          <w:bCs/>
          <w:sz w:val="21"/>
          <w:szCs w:val="21"/>
          <w:highlight w:val="none"/>
          <w:lang w:val="en-US" w:eastAsia="zh-CN" w:bidi="ar-SA"/>
        </w:rPr>
        <w:outlineLvl w:val="1"/>
      </w:pPr>
      <w:r/>
      <w:bookmarkStart w:id="78" w:name="_Toc30412"/>
      <w:r>
        <w:rPr>
          <w:rFonts w:hint="eastAsia" w:ascii="宋体" w:hAnsi="宋体" w:eastAsia="宋体" w:cs="宋体"/>
          <w:b w:val="0"/>
          <w:bCs/>
          <w:sz w:val="21"/>
          <w:szCs w:val="21"/>
          <w:highlight w:val="none"/>
          <w:lang w:val="en-US" w:eastAsia="zh-CN" w:bidi="ar-SA"/>
        </w:rPr>
        <w:t xml:space="preserve">4、 项目实施工期</w:t>
      </w:r>
      <w:bookmarkEnd w:id="78"/>
      <w:r>
        <w:rPr>
          <w:rFonts w:hint="eastAsia" w:ascii="宋体" w:hAnsi="宋体" w:eastAsia="宋体" w:cs="宋体"/>
          <w:b w:val="0"/>
          <w:bCs/>
          <w:sz w:val="21"/>
          <w:szCs w:val="21"/>
          <w:highlight w:val="none"/>
          <w:lang w:val="en-US" w:eastAsia="zh-CN" w:bidi="ar-SA"/>
        </w:rPr>
        <w:t xml:space="preserve">要求</w:t>
      </w:r>
      <w:r>
        <w:rPr>
          <w:rFonts w:hint="eastAsia" w:ascii="宋体" w:hAnsi="宋体" w:eastAsia="宋体" w:cs="宋体"/>
          <w:b w:val="0"/>
          <w:bCs/>
          <w:sz w:val="21"/>
          <w:szCs w:val="21"/>
          <w:highlight w:val="none"/>
          <w:lang w:val="en-US" w:eastAsia="zh-CN" w:bidi="ar-SA"/>
        </w:rPr>
      </w:r>
      <w:r/>
    </w:p>
    <w:p>
      <w:pPr>
        <w:pStyle w:val="973"/>
        <w:ind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本项目总服务期为3年，其中：</w:t>
      </w:r>
      <w:r>
        <w:rPr>
          <w:rFonts w:hint="eastAsia" w:ascii="宋体" w:hAnsi="宋体" w:eastAsia="宋体" w:cs="宋体"/>
          <w:sz w:val="21"/>
          <w:szCs w:val="21"/>
          <w:highlight w:val="none"/>
        </w:rPr>
      </w:r>
      <w:r/>
    </w:p>
    <w:p>
      <w:pPr>
        <w:pStyle w:val="973"/>
        <w:ind w:firstLine="420"/>
        <w:pageBreakBefore w:val="0"/>
        <w:spacing w:line="440" w:lineRule="exact"/>
        <w:widowControl/>
        <w:rPr>
          <w:rFonts w:hint="eastAsia" w:ascii="宋体" w:hAnsi="宋体" w:eastAsia="宋体" w:cs="宋体"/>
          <w:b/>
          <w:bCs w:val="0"/>
          <w:sz w:val="21"/>
          <w:szCs w:val="21"/>
          <w:highlight w:val="none"/>
          <w:lang w:val="en-US" w:eastAsia="zh-CN" w:bidi="ar-SA"/>
        </w:rPr>
      </w:pPr>
      <w:r>
        <w:rPr>
          <w:rFonts w:hint="eastAsia" w:ascii="宋体" w:hAnsi="宋体" w:eastAsia="宋体" w:cs="宋体"/>
          <w:sz w:val="21"/>
          <w:szCs w:val="21"/>
          <w:highlight w:val="none"/>
        </w:rPr>
        <w:t xml:space="preserve">平台建设期：合同签订后6个月（180天）内完成平台开发、硬件安装、数据初始化，上线试运行</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运营服务期：3年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含建设期</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，提供驻场运维、数据更新、模型优化、培训等服务</w:t>
      </w:r>
      <w:r>
        <w:rPr>
          <w:rFonts w:hint="eastAsia" w:ascii="宋体" w:hAnsi="宋体" w:eastAsia="宋体" w:cs="宋体"/>
          <w:sz w:val="21"/>
          <w:szCs w:val="21"/>
          <w:highlight w:val="none"/>
          <w:lang w:eastAsia="zh-CN"/>
        </w:rPr>
        <w:t xml:space="preserve">。</w:t>
      </w:r>
      <w:r>
        <w:rPr>
          <w:rFonts w:hint="eastAsia" w:ascii="宋体" w:hAnsi="宋体" w:eastAsia="宋体" w:cs="宋体"/>
          <w:b/>
          <w:bCs w:val="0"/>
          <w:sz w:val="21"/>
          <w:szCs w:val="21"/>
          <w:highlight w:val="none"/>
          <w:lang w:val="en-US" w:eastAsia="zh-CN" w:bidi="ar-SA"/>
        </w:rPr>
      </w:r>
      <w:r/>
    </w:p>
    <w:p>
      <w:pPr>
        <w:pStyle w:val="973"/>
        <w:numPr>
          <w:ilvl w:val="0"/>
          <w:numId w:val="0"/>
        </w:numPr>
        <w:ind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十二、项目运维服务要求</w:t>
      </w:r>
      <w:r>
        <w:rPr>
          <w:rFonts w:hint="eastAsia" w:ascii="宋体" w:hAnsi="宋体" w:eastAsia="宋体" w:cs="宋体"/>
          <w:b/>
          <w:bCs w:val="0"/>
          <w:sz w:val="21"/>
          <w:szCs w:val="21"/>
          <w:highlight w:val="none"/>
          <w:lang w:val="en-US" w:eastAsia="zh-CN" w:bidi="ar-SA"/>
        </w:rPr>
      </w:r>
      <w:r/>
    </w:p>
    <w:p>
      <w:pPr>
        <w:pStyle w:val="973"/>
        <w:numPr>
          <w:ilvl w:val="0"/>
          <w:numId w:val="0"/>
        </w:numPr>
        <w:ind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1、运维要求</w:t>
      </w:r>
      <w:r>
        <w:rPr>
          <w:rFonts w:hint="eastAsia" w:ascii="宋体" w:hAnsi="宋体" w:eastAsia="宋体" w:cs="宋体"/>
          <w:b/>
          <w:bCs w:val="0"/>
          <w:sz w:val="21"/>
          <w:szCs w:val="21"/>
          <w:highlight w:val="none"/>
          <w:lang w:val="en-US" w:eastAsia="zh-CN" w:bidi="ar-SA"/>
        </w:rPr>
      </w:r>
      <w:r/>
    </w:p>
    <w:p>
      <w:pPr>
        <w:pStyle w:val="973"/>
        <w:ind w:firstLine="420"/>
        <w:pageBreakBefore w:val="0"/>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系统运维</w:t>
      </w:r>
      <w:r>
        <w:rPr>
          <w:rFonts w:hint="eastAsia" w:ascii="宋体" w:hAnsi="宋体" w:eastAsia="宋体" w:cs="宋体"/>
          <w:sz w:val="21"/>
          <w:szCs w:val="21"/>
          <w:highlight w:val="none"/>
          <w:lang w:val="en-US" w:eastAsia="zh-CN"/>
        </w:rPr>
      </w:r>
      <w:r/>
    </w:p>
    <w:p>
      <w:pPr>
        <w:pStyle w:val="973"/>
        <w:ind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所需维护的应用系统名称：排水综合管理专项平台、数据分析服务平台</w:t>
      </w:r>
      <w:r>
        <w:rPr>
          <w:rFonts w:hint="eastAsia" w:ascii="宋体" w:hAnsi="宋体" w:eastAsia="宋体" w:cs="宋体"/>
          <w:sz w:val="21"/>
          <w:szCs w:val="21"/>
          <w:highlight w:val="none"/>
        </w:rPr>
      </w:r>
      <w:r/>
    </w:p>
    <w:p>
      <w:pPr>
        <w:pStyle w:val="973"/>
        <w:ind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使用部门：住建局、建阳市政、养护单位</w:t>
      </w:r>
      <w:r>
        <w:rPr>
          <w:rFonts w:hint="eastAsia" w:ascii="宋体" w:hAnsi="宋体" w:eastAsia="宋体" w:cs="宋体"/>
          <w:sz w:val="21"/>
          <w:szCs w:val="21"/>
          <w:highlight w:val="none"/>
        </w:rPr>
      </w:r>
      <w:r/>
    </w:p>
    <w:p>
      <w:pPr>
        <w:pStyle w:val="973"/>
        <w:ind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使用人数：约200人（管理人员+一线人员）</w:t>
      </w:r>
      <w:r>
        <w:rPr>
          <w:rFonts w:hint="eastAsia" w:ascii="宋体" w:hAnsi="宋体" w:eastAsia="宋体" w:cs="宋体"/>
          <w:sz w:val="21"/>
          <w:szCs w:val="21"/>
          <w:highlight w:val="none"/>
        </w:rPr>
      </w:r>
      <w:r/>
    </w:p>
    <w:p>
      <w:pPr>
        <w:pStyle w:val="973"/>
        <w:ind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维护部门：中标单位驻场团队</w:t>
      </w:r>
      <w:r>
        <w:rPr>
          <w:rFonts w:hint="eastAsia" w:ascii="宋体" w:hAnsi="宋体" w:eastAsia="宋体" w:cs="宋体"/>
          <w:sz w:val="21"/>
          <w:szCs w:val="21"/>
          <w:highlight w:val="none"/>
        </w:rPr>
      </w:r>
      <w:r/>
    </w:p>
    <w:p>
      <w:pPr>
        <w:pStyle w:val="973"/>
        <w:ind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业务运行要求：7×24小时稳定运行，年可用率≥99.5%</w:t>
      </w:r>
      <w:r>
        <w:rPr>
          <w:rFonts w:hint="eastAsia" w:ascii="宋体" w:hAnsi="宋体" w:eastAsia="宋体" w:cs="宋体"/>
          <w:sz w:val="21"/>
          <w:szCs w:val="21"/>
          <w:highlight w:val="none"/>
        </w:rPr>
      </w:r>
      <w:r/>
    </w:p>
    <w:p>
      <w:pPr>
        <w:pStyle w:val="973"/>
        <w:ind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故障处理</w:t>
      </w:r>
      <w:r>
        <w:rPr>
          <w:rFonts w:hint="eastAsia" w:ascii="宋体" w:hAnsi="宋体" w:eastAsia="宋体" w:cs="宋体"/>
          <w:sz w:val="21"/>
          <w:szCs w:val="21"/>
          <w:highlight w:val="none"/>
        </w:rPr>
      </w:r>
      <w:r/>
    </w:p>
    <w:p>
      <w:pPr>
        <w:pStyle w:val="973"/>
        <w:ind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设备故障24小时内响应，一般故障48小时内修复。</w:t>
      </w:r>
      <w:r>
        <w:rPr>
          <w:rFonts w:hint="eastAsia" w:ascii="宋体" w:hAnsi="宋体" w:eastAsia="宋体" w:cs="宋体"/>
          <w:sz w:val="21"/>
          <w:szCs w:val="21"/>
          <w:highlight w:val="none"/>
        </w:rPr>
      </w:r>
      <w:r/>
    </w:p>
    <w:p>
      <w:pPr>
        <w:pStyle w:val="973"/>
        <w:ind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需返厂维修的设备，提供备机或临时替代方案。</w:t>
      </w:r>
      <w:r>
        <w:rPr>
          <w:rFonts w:hint="eastAsia" w:ascii="宋体" w:hAnsi="宋体" w:eastAsia="宋体" w:cs="宋体"/>
          <w:sz w:val="21"/>
          <w:szCs w:val="21"/>
          <w:highlight w:val="none"/>
        </w:rPr>
      </w:r>
      <w:r/>
    </w:p>
    <w:p>
      <w:pPr>
        <w:pStyle w:val="973"/>
        <w:ind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每次维修后填写维修记录，形成设备档案。</w:t>
      </w:r>
      <w:r>
        <w:rPr>
          <w:rFonts w:hint="eastAsia" w:ascii="宋体" w:hAnsi="宋体" w:eastAsia="宋体" w:cs="宋体"/>
          <w:sz w:val="21"/>
          <w:szCs w:val="21"/>
          <w:highlight w:val="none"/>
        </w:rPr>
      </w:r>
      <w:r/>
    </w:p>
    <w:p>
      <w:pPr>
        <w:pStyle w:val="973"/>
        <w:numPr>
          <w:ilvl w:val="0"/>
          <w:numId w:val="31"/>
        </w:numPr>
        <w:ind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动态哨兵策略</w:t>
      </w:r>
      <w:r>
        <w:rPr>
          <w:rFonts w:hint="eastAsia" w:ascii="宋体" w:hAnsi="宋体" w:eastAsia="宋体" w:cs="宋体"/>
          <w:sz w:val="21"/>
          <w:szCs w:val="21"/>
          <w:highlight w:val="none"/>
        </w:rPr>
      </w:r>
      <w:r/>
    </w:p>
    <w:p>
      <w:pPr>
        <w:pStyle w:val="973"/>
        <w:numPr>
          <w:ilvl w:val="0"/>
          <w:numId w:val="0"/>
        </w:numPr>
        <w:ind w:firstLine="42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对监测设备实施动态调整：连续半年监测数据稳定无异常的监测点，经采购人确认后可移机至</w:t>
      </w:r>
      <w:r>
        <w:rPr>
          <w:rFonts w:hint="eastAsia" w:ascii="宋体" w:hAnsi="宋体" w:eastAsia="宋体" w:cs="宋体"/>
          <w:sz w:val="21"/>
          <w:szCs w:val="21"/>
          <w:highlight w:val="none"/>
        </w:rPr>
      </w:r>
      <w:r/>
    </w:p>
    <w:p>
      <w:pPr>
        <w:pStyle w:val="973"/>
        <w:pageBreakBefore w:val="0"/>
        <w:spacing w:line="440" w:lineRule="exact"/>
        <w:widowControl/>
        <w:rPr>
          <w:rFonts w:hint="eastAsia" w:ascii="宋体" w:hAnsi="宋体" w:eastAsia="宋体" w:cs="宋体"/>
          <w:b/>
          <w:bCs w:val="0"/>
          <w:sz w:val="21"/>
          <w:szCs w:val="21"/>
          <w:highlight w:val="none"/>
          <w:lang w:val="en-US" w:eastAsia="zh-CN" w:bidi="ar-SA"/>
        </w:rPr>
      </w:pPr>
      <w:r>
        <w:rPr>
          <w:rFonts w:hint="eastAsia" w:ascii="宋体" w:hAnsi="宋体" w:eastAsia="宋体" w:cs="宋体"/>
          <w:sz w:val="21"/>
          <w:szCs w:val="21"/>
          <w:highlight w:val="none"/>
        </w:rPr>
        <w:t xml:space="preserve">新的高风险区域。通过动态调整提高设备利用率，发挥最大价值。</w:t>
      </w:r>
      <w:r>
        <w:rPr>
          <w:rFonts w:hint="eastAsia" w:ascii="宋体" w:hAnsi="宋体" w:eastAsia="宋体" w:cs="宋体"/>
          <w:b/>
          <w:bCs w:val="0"/>
          <w:sz w:val="21"/>
          <w:szCs w:val="21"/>
          <w:highlight w:val="none"/>
          <w:lang w:val="en-US" w:eastAsia="zh-CN" w:bidi="ar-SA"/>
        </w:rPr>
      </w:r>
      <w:r/>
    </w:p>
    <w:p>
      <w:pPr>
        <w:pStyle w:val="973"/>
        <w:numPr>
          <w:ilvl w:val="0"/>
          <w:numId w:val="0"/>
        </w:numPr>
        <w:ind w:firstLine="422"/>
        <w:jc w:val="both"/>
        <w:pageBreakBefore w:val="0"/>
        <w:spacing w:line="440" w:lineRule="exact"/>
        <w:widowControl w:val="off"/>
        <w:rPr>
          <w:rFonts w:hint="eastAsia" w:ascii="宋体" w:hAnsi="宋体" w:eastAsia="宋体" w:cs="宋体"/>
          <w:b/>
          <w:bCs w:val="0"/>
          <w:sz w:val="21"/>
          <w:szCs w:val="21"/>
          <w:highlight w:val="none"/>
          <w:lang w:val="en-US" w:eastAsia="zh-CN" w:bidi="ar-SA"/>
        </w:rPr>
        <w:outlineLvl w:val="1"/>
      </w:pPr>
      <w:r>
        <w:rPr>
          <w:rFonts w:hint="eastAsia" w:ascii="宋体" w:hAnsi="宋体" w:eastAsia="宋体" w:cs="宋体"/>
          <w:b/>
          <w:bCs w:val="0"/>
          <w:sz w:val="21"/>
          <w:szCs w:val="21"/>
          <w:highlight w:val="none"/>
          <w:lang w:val="en-US" w:eastAsia="zh-CN" w:bidi="ar-SA"/>
        </w:rPr>
        <w:t xml:space="preserve">十三、付款方式</w:t>
      </w:r>
      <w:r>
        <w:rPr>
          <w:rFonts w:hint="eastAsia" w:ascii="宋体" w:hAnsi="宋体" w:eastAsia="宋体" w:cs="宋体"/>
          <w:b/>
          <w:bCs w:val="0"/>
          <w:sz w:val="21"/>
          <w:szCs w:val="21"/>
          <w:highlight w:val="none"/>
          <w:lang w:val="en-US" w:eastAsia="zh-CN" w:bidi="ar-SA"/>
        </w:rPr>
      </w:r>
      <w:r/>
    </w:p>
    <w:p>
      <w:pPr>
        <w:pStyle w:val="973"/>
        <w:ind w:firstLine="420"/>
        <w:pageBreakBefore w:val="0"/>
        <w:spacing w:line="440" w:lineRule="exact"/>
        <w:widowControl/>
        <w:rPr>
          <w:rFonts w:hint="eastAsia" w:ascii="宋体" w:hAnsi="宋体" w:eastAsia="宋体" w:cs="宋体"/>
          <w:color w:val="000000"/>
          <w:highlight w:val="none"/>
          <w:u w:val="single"/>
          <w:lang w:val="en-US" w:eastAsia="zh-CN"/>
        </w:rPr>
      </w:pPr>
      <w:r>
        <w:rPr>
          <w:rFonts w:hint="eastAsia" w:ascii="宋体" w:hAnsi="宋体" w:eastAsia="宋体" w:cs="宋体"/>
          <w:color w:val="000000"/>
          <w:highlight w:val="none"/>
          <w:u w:val="single"/>
          <w:lang w:val="en-US" w:eastAsia="zh-CN"/>
        </w:rPr>
        <w:t xml:space="preserve">合同签订后，甲方自收到乙方发票之日起十个工作日内支付合同总额的30%为预付款；硬件采购及软件开发部分根据“业务目标达成”（详见附件）情况进行支付，验收后支付硬件采购及软件开发已完成验收部分的80%作为进度款（其中第一年扣除全部预付款），余款三年服务到期后一次性支付；硬件运维及软件运维部分，分三年支付，在每年度考核后支付当年费用。</w:t>
      </w:r>
      <w:r>
        <w:rPr>
          <w:rFonts w:hint="eastAsia" w:ascii="宋体" w:hAnsi="宋体" w:eastAsia="宋体" w:cs="宋体"/>
          <w:color w:val="000000"/>
          <w:highlight w:val="none"/>
          <w:u w:val="single"/>
          <w:lang w:val="en-US" w:eastAsia="zh-CN"/>
        </w:rPr>
      </w:r>
      <w:r/>
    </w:p>
    <w:p>
      <w:pPr>
        <w:pStyle w:val="973"/>
        <w:ind w:firstLine="422"/>
        <w:pageBreakBefore w:val="0"/>
        <w:spacing w:line="44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十四、本项目为电子投标，中标单位在领取成交通知书时需递交两份完整的投标文件。</w:t>
      </w:r>
      <w:r>
        <w:rPr>
          <w:rFonts w:hint="eastAsia" w:ascii="宋体" w:hAnsi="宋体" w:eastAsia="宋体" w:cs="宋体"/>
          <w:b/>
          <w:bCs/>
          <w:sz w:val="21"/>
          <w:szCs w:val="21"/>
          <w:highlight w:val="none"/>
          <w:lang w:val="en-US" w:eastAsia="zh-CN"/>
        </w:rPr>
      </w:r>
      <w:r/>
    </w:p>
    <w:p>
      <w:pPr>
        <w:pStyle w:val="973"/>
        <w:ind w:firstLine="422"/>
        <w:keepLines w:val="0"/>
        <w:keepNext w:val="0"/>
        <w:pageBreakBefore w:val="0"/>
        <w:spacing w:line="440" w:lineRule="exact"/>
        <w:widowControl w:val="off"/>
        <w:rPr>
          <w:rFonts w:hint="eastAsia" w:eastAsia="宋体" w:cs="Times New Roman"/>
          <w:b/>
          <w:bCs w:val="0"/>
          <w:iCs/>
          <w:color w:val="000000"/>
          <w:sz w:val="21"/>
          <w:szCs w:val="21"/>
          <w:highlight w:val="none"/>
          <w:lang w:val="en-US" w:eastAsia="zh-CN"/>
        </w:rPr>
        <w:outlineLvl w:val="9"/>
      </w:pPr>
      <w:r>
        <w:rPr>
          <w:rFonts w:hint="eastAsia" w:eastAsia="宋体" w:cs="Times New Roman"/>
          <w:b/>
          <w:bCs w:val="0"/>
          <w:iCs/>
          <w:color w:val="000000"/>
          <w:sz w:val="21"/>
          <w:szCs w:val="21"/>
          <w:highlight w:val="none"/>
          <w:lang w:val="en-US" w:eastAsia="zh-CN"/>
        </w:rPr>
      </w:r>
      <w:r/>
    </w:p>
    <w:p>
      <w:pPr>
        <w:pStyle w:val="973"/>
        <w:ind w:firstLine="480"/>
        <w:jc w:val="center"/>
        <w:keepLines w:val="0"/>
        <w:keepNext w:val="0"/>
        <w:pageBreakBefore w:val="0"/>
        <w:spacing w:line="440" w:lineRule="exact"/>
        <w:widowControl w:val="off"/>
        <w:rPr>
          <w:rStyle w:val="980"/>
          <w:rFonts w:hint="eastAsia" w:ascii="Times New Roman" w:hAnsi="Times New Roman" w:eastAsia="宋体" w:cs="Times New Roman"/>
          <w:color w:val="000000"/>
          <w:sz w:val="36"/>
          <w:szCs w:val="36"/>
          <w:highlight w:val="none"/>
          <w:lang w:val="en-US" w:eastAsia="zh-CN"/>
        </w:rPr>
        <w:outlineLvl w:val="9"/>
      </w:pPr>
      <w:r>
        <w:rPr>
          <w:rFonts w:hint="eastAsia" w:eastAsia="宋体" w:cs="Times New Roman"/>
          <w:bCs/>
          <w:iCs/>
          <w:color w:val="000000"/>
          <w:sz w:val="21"/>
          <w:szCs w:val="21"/>
          <w:highlight w:val="none"/>
          <w:lang w:val="en-US" w:eastAsia="zh-CN"/>
        </w:rPr>
        <w:br w:type="page" w:clear="all"/>
      </w:r>
      <w:bookmarkStart w:id="79" w:name="_Toc20429"/>
      <w:r>
        <w:rPr>
          <w:rStyle w:val="980"/>
          <w:rFonts w:hint="eastAsia" w:ascii="Times New Roman" w:hAnsi="Times New Roman" w:eastAsia="宋体" w:cs="Times New Roman"/>
          <w:color w:val="000000"/>
          <w:sz w:val="36"/>
          <w:szCs w:val="36"/>
          <w:highlight w:val="none"/>
          <w:lang w:val="en-US" w:eastAsia="zh-CN"/>
        </w:rPr>
        <w:t xml:space="preserve">第五章 评审方法与评标标准</w:t>
      </w:r>
      <w:r>
        <w:rPr>
          <w:rStyle w:val="980"/>
          <w:rFonts w:hint="eastAsia" w:ascii="Times New Roman" w:hAnsi="Times New Roman" w:eastAsia="宋体" w:cs="Times New Roman"/>
          <w:color w:val="000000"/>
          <w:sz w:val="36"/>
          <w:szCs w:val="36"/>
          <w:highlight w:val="none"/>
          <w:lang w:val="en-US" w:eastAsia="zh-CN"/>
        </w:rPr>
      </w:r>
      <w:r/>
    </w:p>
    <w:p>
      <w:pPr>
        <w:pStyle w:val="1028"/>
        <w:ind w:firstLine="422"/>
        <w:jc w:val="both"/>
        <w:keepLines w:val="0"/>
        <w:keepNext w:val="0"/>
        <w:pageBreakBefore w:val="0"/>
        <w:spacing w:before="240" w:after="0"/>
        <w:widowControl w:val="off"/>
        <w:rPr>
          <w:rFonts w:ascii="宋体" w:hAnsi="宋体"/>
          <w:b/>
          <w:color w:val="000000"/>
          <w:sz w:val="21"/>
          <w:szCs w:val="21"/>
          <w:highlight w:val="none"/>
        </w:rPr>
      </w:pPr>
      <w:r/>
      <w:bookmarkEnd w:id="79"/>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1028"/>
        <w:ind w:left="0" w:firstLine="420"/>
        <w:jc w:val="both"/>
        <w:keepLines w:val="0"/>
        <w:keepNext w:val="0"/>
        <w:pageBreakBefore w:val="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本项目采用综合评分法，评标结果按评审后得分由高到低顺序排列。得分相同的，按投标报价由低到高顺序排列。得分且投标报价相同的并列</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投标文件满足招标文件全部实质性要求，且按照评审因素的量化指标评审得分最高的投标人为</w:t>
      </w:r>
      <w:r>
        <w:rPr>
          <w:rFonts w:hint="eastAsia" w:ascii="宋体" w:hAnsi="宋体"/>
          <w:color w:val="000000"/>
          <w:sz w:val="21"/>
          <w:szCs w:val="21"/>
          <w:highlight w:val="none"/>
          <w:lang w:val="en-US" w:eastAsia="zh-CN"/>
        </w:rPr>
        <w:t xml:space="preserve">排名第一的</w:t>
      </w:r>
      <w:r>
        <w:rPr>
          <w:rFonts w:hint="eastAsia" w:ascii="宋体" w:hAnsi="宋体"/>
          <w:color w:val="000000"/>
          <w:sz w:val="21"/>
          <w:szCs w:val="21"/>
          <w:highlight w:val="none"/>
        </w:rPr>
        <w:t xml:space="preserve">中标候选人。</w:t>
      </w:r>
      <w:r>
        <w:rPr>
          <w:rFonts w:ascii="宋体" w:hAnsi="宋体"/>
          <w:color w:val="000000"/>
          <w:sz w:val="21"/>
          <w:szCs w:val="21"/>
          <w:highlight w:val="none"/>
        </w:rPr>
      </w:r>
      <w:r/>
    </w:p>
    <w:p>
      <w:pPr>
        <w:pStyle w:val="973"/>
        <w:ind w:left="0" w:firstLine="422"/>
        <w:jc w:val="both"/>
        <w:keepLines w:val="0"/>
        <w:keepNext w:val="0"/>
        <w:pageBreakBefore w:val="0"/>
        <w:spacing w:line="360" w:lineRule="auto"/>
        <w:rPr>
          <w:rFonts w:ascii="宋体" w:hAnsi="宋体"/>
          <w:b/>
          <w:color w:val="000000"/>
          <w:szCs w:val="21"/>
          <w:highlight w:val="none"/>
        </w:rPr>
      </w:pPr>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r>
        <w:rPr>
          <w:rFonts w:ascii="宋体" w:hAnsi="宋体"/>
          <w:b/>
          <w:color w:val="000000"/>
          <w:szCs w:val="21"/>
          <w:highlight w:val="none"/>
        </w:rPr>
      </w:r>
      <w:r/>
    </w:p>
    <w:p>
      <w:pPr>
        <w:pStyle w:val="973"/>
        <w:ind w:firstLine="420"/>
        <w:spacing w:line="360" w:lineRule="auto"/>
        <w:rPr>
          <w:rFonts w:ascii="宋体" w:hAnsi="宋体"/>
          <w:b/>
          <w:szCs w:val="21"/>
          <w:highlight w:val="none"/>
        </w:rPr>
      </w:pPr>
      <w:r>
        <w:rPr>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szCs w:val="21"/>
          <w:highlight w:val="none"/>
        </w:rPr>
      </w:r>
      <w:r/>
    </w:p>
    <w:p>
      <w:pPr>
        <w:pStyle w:val="1028"/>
        <w:ind w:left="315" w:firstLine="105"/>
        <w:rPr>
          <w:rFonts w:ascii="宋体" w:hAnsi="宋体"/>
          <w:sz w:val="21"/>
          <w:szCs w:val="21"/>
          <w:highlight w:val="none"/>
        </w:rPr>
      </w:pPr>
      <w:r>
        <w:rPr>
          <w:rFonts w:ascii="宋体" w:hAnsi="宋体"/>
          <w:sz w:val="21"/>
          <w:szCs w:val="21"/>
          <w:highlight w:val="none"/>
        </w:rPr>
        <w:t xml:space="preserve">1、小微型企业价格扣除</w:t>
      </w:r>
      <w:r>
        <w:rPr>
          <w:rFonts w:ascii="宋体" w:hAnsi="宋体"/>
          <w:sz w:val="21"/>
          <w:szCs w:val="21"/>
          <w:highlight w:val="none"/>
        </w:rPr>
      </w:r>
      <w:r/>
    </w:p>
    <w:p>
      <w:pPr>
        <w:pStyle w:val="1028"/>
        <w:ind w:firstLine="420"/>
        <w:rPr>
          <w:rFonts w:ascii="宋体" w:hAnsi="宋体"/>
          <w:sz w:val="21"/>
          <w:szCs w:val="21"/>
          <w:highlight w:val="none"/>
        </w:rPr>
      </w:pPr>
      <w:r>
        <w:rPr>
          <w:rFonts w:ascii="宋体" w:hAnsi="宋体"/>
          <w:sz w:val="21"/>
          <w:szCs w:val="21"/>
          <w:highlight w:val="none"/>
        </w:rPr>
        <w:t xml:space="preserve">（1）本项目对小型和微型企业产品给予</w:t>
      </w:r>
      <w:r>
        <w:rPr>
          <w:rFonts w:hint="eastAsia" w:ascii="宋体" w:hAnsi="宋体"/>
          <w:sz w:val="21"/>
          <w:szCs w:val="21"/>
          <w:highlight w:val="none"/>
        </w:rPr>
        <w:t xml:space="preserve">20</w:t>
      </w:r>
      <w:r>
        <w:rPr>
          <w:rFonts w:ascii="宋体" w:hAnsi="宋体"/>
          <w:sz w:val="21"/>
          <w:szCs w:val="21"/>
          <w:highlight w:val="none"/>
        </w:rPr>
        <w:t xml:space="preserve">%的扣除价格，用扣除后的价格参与评审。</w:t>
      </w:r>
      <w:r>
        <w:rPr>
          <w:rFonts w:ascii="宋体" w:hAnsi="宋体"/>
          <w:sz w:val="21"/>
          <w:szCs w:val="21"/>
          <w:highlight w:val="none"/>
        </w:rPr>
      </w:r>
      <w:r/>
    </w:p>
    <w:p>
      <w:pPr>
        <w:pStyle w:val="1028"/>
        <w:ind w:firstLine="420"/>
        <w:rPr>
          <w:rFonts w:ascii="宋体" w:hAnsi="宋体"/>
          <w:sz w:val="21"/>
          <w:szCs w:val="21"/>
          <w:highlight w:val="none"/>
        </w:rPr>
      </w:pPr>
      <w:r>
        <w:rPr>
          <w:rFonts w:ascii="宋体" w:hAnsi="宋体"/>
          <w:sz w:val="21"/>
          <w:szCs w:val="21"/>
          <w:highlight w:val="none"/>
        </w:rPr>
        <w:t xml:space="preserve">（2）供应商需按照采购文件的要求提供相应的《企业声明函》。</w:t>
      </w:r>
      <w:r>
        <w:rPr>
          <w:rFonts w:ascii="宋体" w:hAnsi="宋体"/>
          <w:sz w:val="21"/>
          <w:szCs w:val="21"/>
          <w:highlight w:val="none"/>
        </w:rPr>
      </w:r>
      <w:r/>
    </w:p>
    <w:p>
      <w:pPr>
        <w:pStyle w:val="1028"/>
        <w:ind w:left="420" w:firstLine="0"/>
        <w:rPr>
          <w:rFonts w:ascii="宋体" w:hAnsi="宋体"/>
          <w:sz w:val="21"/>
          <w:szCs w:val="21"/>
          <w:highlight w:val="none"/>
        </w:rPr>
      </w:pPr>
      <w:r>
        <w:rPr>
          <w:rFonts w:ascii="宋体" w:hAnsi="宋体"/>
          <w:sz w:val="21"/>
          <w:szCs w:val="21"/>
          <w:highlight w:val="none"/>
        </w:rPr>
        <w:t xml:space="preserve">2、残疾人福利单位价格扣除</w:t>
      </w:r>
      <w:r>
        <w:rPr>
          <w:rFonts w:ascii="宋体" w:hAnsi="宋体"/>
          <w:sz w:val="21"/>
          <w:szCs w:val="21"/>
          <w:highlight w:val="none"/>
        </w:rPr>
      </w:r>
      <w:r/>
    </w:p>
    <w:p>
      <w:pPr>
        <w:pStyle w:val="1028"/>
        <w:ind w:left="315" w:firstLine="105"/>
        <w:rPr>
          <w:rFonts w:ascii="宋体" w:hAnsi="宋体"/>
          <w:sz w:val="21"/>
          <w:szCs w:val="21"/>
          <w:highlight w:val="none"/>
        </w:rPr>
      </w:pPr>
      <w:r>
        <w:rPr>
          <w:rFonts w:ascii="宋体" w:hAnsi="宋体"/>
          <w:sz w:val="21"/>
          <w:szCs w:val="21"/>
          <w:highlight w:val="none"/>
        </w:rPr>
        <w:t xml:space="preserve">（1）本项目对残疾人福利性单位视同小型、微型企业，给予</w:t>
      </w:r>
      <w:r>
        <w:rPr>
          <w:rFonts w:hint="eastAsia" w:ascii="宋体" w:hAnsi="宋体"/>
          <w:sz w:val="21"/>
          <w:szCs w:val="21"/>
          <w:highlight w:val="none"/>
        </w:rPr>
        <w:t xml:space="preserve">20</w:t>
      </w:r>
      <w:r>
        <w:rPr>
          <w:rFonts w:ascii="宋体" w:hAnsi="宋体"/>
          <w:sz w:val="21"/>
          <w:szCs w:val="21"/>
          <w:highlight w:val="none"/>
        </w:rPr>
        <w:t xml:space="preserve">%的价格扣除，用扣除</w:t>
      </w:r>
      <w:r>
        <w:rPr>
          <w:rFonts w:ascii="宋体" w:hAnsi="宋体"/>
          <w:sz w:val="21"/>
          <w:szCs w:val="21"/>
          <w:highlight w:val="none"/>
        </w:rPr>
      </w:r>
      <w:r/>
    </w:p>
    <w:p>
      <w:pPr>
        <w:pStyle w:val="1028"/>
        <w:ind w:firstLine="0"/>
        <w:rPr>
          <w:rFonts w:ascii="宋体" w:hAnsi="宋体"/>
          <w:sz w:val="21"/>
          <w:szCs w:val="21"/>
          <w:highlight w:val="none"/>
        </w:rPr>
      </w:pPr>
      <w:r>
        <w:rPr>
          <w:rFonts w:ascii="宋体" w:hAnsi="宋体"/>
          <w:sz w:val="21"/>
          <w:szCs w:val="21"/>
          <w:highlight w:val="none"/>
        </w:rPr>
        <w:t xml:space="preserve">后的价格参与评审。</w:t>
      </w:r>
      <w:r>
        <w:rPr>
          <w:rFonts w:ascii="宋体" w:hAnsi="宋体"/>
          <w:sz w:val="21"/>
          <w:szCs w:val="21"/>
          <w:highlight w:val="none"/>
        </w:rPr>
      </w:r>
      <w:r/>
    </w:p>
    <w:p>
      <w:pPr>
        <w:pStyle w:val="1028"/>
        <w:ind w:left="420" w:firstLine="0"/>
        <w:rPr>
          <w:rFonts w:ascii="宋体" w:hAnsi="宋体"/>
          <w:sz w:val="21"/>
          <w:szCs w:val="21"/>
          <w:highlight w:val="none"/>
        </w:rPr>
      </w:pPr>
      <w:r>
        <w:rPr>
          <w:rFonts w:ascii="宋体" w:hAnsi="宋体"/>
          <w:sz w:val="21"/>
          <w:szCs w:val="21"/>
          <w:highlight w:val="none"/>
        </w:rPr>
        <w:t xml:space="preserve">（2）残疾人福利单位需按照采购文件的要求提供《残疾人福利性单位声明函》。</w:t>
      </w:r>
      <w:r>
        <w:rPr>
          <w:rFonts w:ascii="宋体" w:hAnsi="宋体"/>
          <w:sz w:val="21"/>
          <w:szCs w:val="21"/>
          <w:highlight w:val="none"/>
        </w:rPr>
      </w:r>
      <w:r/>
    </w:p>
    <w:p>
      <w:pPr>
        <w:pStyle w:val="1028"/>
        <w:ind w:left="420" w:firstLine="0"/>
        <w:rPr>
          <w:rFonts w:ascii="宋体" w:hAnsi="宋体"/>
          <w:sz w:val="21"/>
          <w:szCs w:val="21"/>
          <w:highlight w:val="none"/>
        </w:rPr>
      </w:pPr>
      <w:r>
        <w:rPr>
          <w:rFonts w:ascii="宋体" w:hAnsi="宋体"/>
          <w:sz w:val="21"/>
          <w:szCs w:val="21"/>
          <w:highlight w:val="none"/>
        </w:rPr>
        <w:t xml:space="preserve">（3）残疾人福利单位标准请参照《关于促进残疾人就业政府采购政策的通知》（财库</w:t>
      </w:r>
      <w:r>
        <w:rPr>
          <w:rFonts w:ascii="宋体" w:hAnsi="宋体"/>
          <w:sz w:val="21"/>
          <w:szCs w:val="21"/>
          <w:highlight w:val="none"/>
        </w:rPr>
      </w:r>
      <w:r/>
    </w:p>
    <w:p>
      <w:pPr>
        <w:pStyle w:val="1028"/>
        <w:ind w:left="420" w:hanging="420"/>
        <w:rPr>
          <w:rFonts w:ascii="宋体" w:hAnsi="宋体"/>
          <w:sz w:val="21"/>
          <w:szCs w:val="21"/>
          <w:highlight w:val="none"/>
        </w:rPr>
      </w:pPr>
      <w:r>
        <w:rPr>
          <w:rFonts w:ascii="宋体" w:hAnsi="宋体"/>
          <w:sz w:val="21"/>
          <w:szCs w:val="21"/>
          <w:highlight w:val="none"/>
        </w:rPr>
        <w:t xml:space="preserve">〔2017〕141号）。</w:t>
      </w:r>
      <w:r>
        <w:rPr>
          <w:rFonts w:ascii="宋体" w:hAnsi="宋体"/>
          <w:sz w:val="21"/>
          <w:szCs w:val="21"/>
          <w:highlight w:val="none"/>
        </w:rPr>
      </w:r>
      <w:r/>
    </w:p>
    <w:p>
      <w:pPr>
        <w:pStyle w:val="1028"/>
        <w:ind w:left="420" w:firstLine="0"/>
        <w:rPr>
          <w:rFonts w:ascii="宋体" w:hAnsi="宋体"/>
          <w:sz w:val="21"/>
          <w:szCs w:val="21"/>
          <w:highlight w:val="none"/>
        </w:rPr>
      </w:pPr>
      <w:r>
        <w:rPr>
          <w:rFonts w:ascii="宋体" w:hAnsi="宋体"/>
          <w:sz w:val="21"/>
          <w:szCs w:val="21"/>
          <w:highlight w:val="none"/>
        </w:rPr>
        <w:t xml:space="preserve">3、监狱和戒毒企业价格扣除</w:t>
      </w:r>
      <w:r>
        <w:rPr>
          <w:rFonts w:ascii="宋体" w:hAnsi="宋体"/>
          <w:sz w:val="21"/>
          <w:szCs w:val="21"/>
          <w:highlight w:val="none"/>
        </w:rPr>
      </w:r>
      <w:r/>
    </w:p>
    <w:p>
      <w:pPr>
        <w:pStyle w:val="1028"/>
        <w:ind w:left="420" w:firstLine="0"/>
        <w:rPr>
          <w:rFonts w:ascii="宋体" w:hAnsi="宋体"/>
          <w:sz w:val="21"/>
          <w:szCs w:val="21"/>
          <w:highlight w:val="none"/>
        </w:rPr>
      </w:pPr>
      <w:r>
        <w:rPr>
          <w:rFonts w:ascii="宋体" w:hAnsi="宋体"/>
          <w:sz w:val="21"/>
          <w:szCs w:val="21"/>
          <w:highlight w:val="none"/>
        </w:rPr>
        <w:t xml:space="preserve">（1）本项目对监狱和戒毒企业（简称监狱企业）视同小型、微型企业，给予</w:t>
      </w:r>
      <w:r>
        <w:rPr>
          <w:rFonts w:hint="eastAsia" w:ascii="宋体" w:hAnsi="宋体"/>
          <w:sz w:val="21"/>
          <w:szCs w:val="21"/>
          <w:highlight w:val="none"/>
        </w:rPr>
        <w:t xml:space="preserve">20</w:t>
      </w:r>
      <w:r>
        <w:rPr>
          <w:rFonts w:ascii="宋体" w:hAnsi="宋体"/>
          <w:sz w:val="21"/>
          <w:szCs w:val="21"/>
          <w:highlight w:val="none"/>
        </w:rPr>
        <w:t xml:space="preserve">%的价</w:t>
      </w:r>
      <w:r>
        <w:rPr>
          <w:rFonts w:ascii="宋体" w:hAnsi="宋体"/>
          <w:sz w:val="21"/>
          <w:szCs w:val="21"/>
          <w:highlight w:val="none"/>
        </w:rPr>
      </w:r>
      <w:r/>
    </w:p>
    <w:p>
      <w:pPr>
        <w:pStyle w:val="1028"/>
        <w:ind w:firstLine="0"/>
        <w:rPr>
          <w:rFonts w:ascii="宋体" w:hAnsi="宋体"/>
          <w:sz w:val="21"/>
          <w:szCs w:val="21"/>
          <w:highlight w:val="none"/>
        </w:rPr>
      </w:pPr>
      <w:r>
        <w:rPr>
          <w:rFonts w:ascii="宋体" w:hAnsi="宋体"/>
          <w:sz w:val="21"/>
          <w:szCs w:val="21"/>
          <w:highlight w:val="none"/>
        </w:rPr>
        <w:t xml:space="preserve">格扣除，用扣除后的价格参与评审。</w:t>
      </w:r>
      <w:r>
        <w:rPr>
          <w:rFonts w:ascii="宋体" w:hAnsi="宋体"/>
          <w:sz w:val="21"/>
          <w:szCs w:val="21"/>
          <w:highlight w:val="none"/>
        </w:rPr>
      </w:r>
      <w:r/>
    </w:p>
    <w:p>
      <w:pPr>
        <w:pStyle w:val="1028"/>
        <w:ind w:left="420" w:firstLine="0"/>
        <w:rPr>
          <w:rFonts w:ascii="宋体" w:hAnsi="宋体"/>
          <w:sz w:val="21"/>
          <w:szCs w:val="21"/>
          <w:highlight w:val="none"/>
        </w:rPr>
      </w:pPr>
      <w:r>
        <w:rPr>
          <w:rFonts w:ascii="宋体" w:hAnsi="宋体"/>
          <w:sz w:val="21"/>
          <w:szCs w:val="21"/>
          <w:highlight w:val="none"/>
        </w:rPr>
        <w:t xml:space="preserve">（2）监狱企业参加政府采购活动时，需提供由省级以上监狱管理局、戒毒管理局(含新</w:t>
      </w:r>
      <w:r>
        <w:rPr>
          <w:rFonts w:ascii="宋体" w:hAnsi="宋体"/>
          <w:sz w:val="21"/>
          <w:szCs w:val="21"/>
          <w:highlight w:val="none"/>
        </w:rPr>
      </w:r>
      <w:r/>
    </w:p>
    <w:p>
      <w:pPr>
        <w:pStyle w:val="1028"/>
        <w:ind w:left="420" w:hanging="420"/>
        <w:rPr>
          <w:rFonts w:ascii="宋体" w:hAnsi="宋体"/>
          <w:sz w:val="21"/>
          <w:szCs w:val="21"/>
          <w:highlight w:val="none"/>
        </w:rPr>
      </w:pPr>
      <w:r>
        <w:rPr>
          <w:rFonts w:ascii="宋体" w:hAnsi="宋体"/>
          <w:sz w:val="21"/>
          <w:szCs w:val="21"/>
          <w:highlight w:val="none"/>
        </w:rPr>
        <w:t xml:space="preserve">疆生产建设兵团)出具的属于监狱企业的证明文件。供应商如不提供上述证明文件，价格将</w:t>
      </w:r>
      <w:r>
        <w:rPr>
          <w:rFonts w:ascii="宋体" w:hAnsi="宋体"/>
          <w:sz w:val="21"/>
          <w:szCs w:val="21"/>
          <w:highlight w:val="none"/>
        </w:rPr>
      </w:r>
      <w:r/>
    </w:p>
    <w:p>
      <w:pPr>
        <w:pStyle w:val="1028"/>
        <w:ind w:left="420" w:hanging="420"/>
        <w:rPr>
          <w:rFonts w:ascii="宋体" w:hAnsi="宋体"/>
          <w:sz w:val="21"/>
          <w:szCs w:val="21"/>
          <w:highlight w:val="none"/>
        </w:rPr>
      </w:pPr>
      <w:r>
        <w:rPr>
          <w:rFonts w:ascii="宋体" w:hAnsi="宋体"/>
          <w:sz w:val="21"/>
          <w:szCs w:val="21"/>
          <w:highlight w:val="none"/>
        </w:rPr>
        <w:t xml:space="preserve">不做相应扣除。</w:t>
      </w:r>
      <w:r>
        <w:rPr>
          <w:rFonts w:ascii="宋体" w:hAnsi="宋体"/>
          <w:sz w:val="21"/>
          <w:szCs w:val="21"/>
          <w:highlight w:val="none"/>
        </w:rPr>
      </w:r>
      <w:r/>
    </w:p>
    <w:p>
      <w:pPr>
        <w:pStyle w:val="1028"/>
        <w:ind w:left="0" w:firstLine="420"/>
        <w:keepLines w:val="0"/>
        <w:keepNext w:val="0"/>
        <w:pageBreakBefore w:val="0"/>
        <w:widowControl w:val="off"/>
        <w:rPr>
          <w:rFonts w:ascii="宋体" w:hAnsi="宋体"/>
          <w:sz w:val="21"/>
          <w:szCs w:val="21"/>
          <w:highlight w:val="none"/>
        </w:rPr>
      </w:pPr>
      <w:r>
        <w:rPr>
          <w:rFonts w:ascii="宋体" w:hAnsi="宋体"/>
          <w:sz w:val="21"/>
          <w:szCs w:val="21"/>
          <w:highlight w:val="none"/>
        </w:rPr>
        <w:t xml:space="preserve">（3）监狱企业标准请参照《关于政府采购支持监狱企业发展有关问题的通知》（财库[2014]68号）。</w:t>
      </w:r>
      <w:r>
        <w:rPr>
          <w:rFonts w:ascii="宋体" w:hAnsi="宋体"/>
          <w:sz w:val="21"/>
          <w:szCs w:val="21"/>
          <w:highlight w:val="none"/>
        </w:rPr>
      </w:r>
      <w:r/>
    </w:p>
    <w:p>
      <w:pPr>
        <w:pStyle w:val="1028"/>
        <w:ind w:firstLine="420"/>
        <w:rPr>
          <w:rFonts w:ascii="宋体" w:hAnsi="宋体"/>
          <w:sz w:val="21"/>
          <w:szCs w:val="21"/>
          <w:highlight w:val="none"/>
        </w:rPr>
      </w:pPr>
      <w:r>
        <w:rPr>
          <w:rFonts w:ascii="宋体" w:hAnsi="宋体"/>
          <w:sz w:val="21"/>
          <w:szCs w:val="21"/>
          <w:highlight w:val="none"/>
        </w:rPr>
        <w:t xml:space="preserve">4、残疾人福利单位、监狱企业属于小型、微型企业的，不重复享受政策。</w:t>
      </w:r>
      <w:r>
        <w:rPr>
          <w:rFonts w:ascii="宋体" w:hAnsi="宋体"/>
          <w:sz w:val="21"/>
          <w:szCs w:val="21"/>
          <w:highlight w:val="none"/>
        </w:rPr>
      </w:r>
      <w:r/>
    </w:p>
    <w:p>
      <w:pPr>
        <w:pStyle w:val="1028"/>
        <w:ind w:left="420" w:firstLine="0"/>
        <w:rPr>
          <w:rFonts w:ascii="宋体" w:hAnsi="宋体"/>
          <w:sz w:val="21"/>
          <w:szCs w:val="21"/>
          <w:highlight w:val="none"/>
        </w:rPr>
      </w:pPr>
      <w:r>
        <w:rPr>
          <w:rFonts w:ascii="宋体" w:hAnsi="宋体"/>
          <w:sz w:val="21"/>
          <w:szCs w:val="21"/>
          <w:highlight w:val="none"/>
        </w:rPr>
        <w:t xml:space="preserve">5、大中型企业和其他自然人、法人或者其他组织并与小型、微型企业（残疾人福利单</w:t>
      </w:r>
      <w:r>
        <w:rPr>
          <w:rFonts w:ascii="宋体" w:hAnsi="宋体"/>
          <w:sz w:val="21"/>
          <w:szCs w:val="21"/>
          <w:highlight w:val="none"/>
        </w:rPr>
      </w:r>
      <w:r/>
    </w:p>
    <w:p>
      <w:pPr>
        <w:pStyle w:val="1028"/>
        <w:ind w:left="420" w:hanging="420"/>
        <w:rPr>
          <w:rFonts w:ascii="宋体" w:hAnsi="宋体"/>
          <w:sz w:val="21"/>
          <w:szCs w:val="21"/>
          <w:highlight w:val="none"/>
        </w:rPr>
      </w:pPr>
      <w:r>
        <w:rPr>
          <w:rFonts w:ascii="宋体" w:hAnsi="宋体"/>
          <w:sz w:val="21"/>
          <w:szCs w:val="21"/>
          <w:highlight w:val="none"/>
        </w:rPr>
        <w:t xml:space="preserve">位、监狱企业）组成联合体共同参加政府采购活动。联合协议中约定，小型、微型企业（残</w:t>
      </w:r>
      <w:r>
        <w:rPr>
          <w:rFonts w:ascii="宋体" w:hAnsi="宋体"/>
          <w:sz w:val="21"/>
          <w:szCs w:val="21"/>
          <w:highlight w:val="none"/>
        </w:rPr>
      </w:r>
      <w:r/>
    </w:p>
    <w:p>
      <w:pPr>
        <w:pStyle w:val="1028"/>
        <w:ind w:left="420" w:hanging="420"/>
        <w:rPr>
          <w:rFonts w:ascii="宋体" w:hAnsi="宋体"/>
          <w:sz w:val="21"/>
          <w:szCs w:val="21"/>
          <w:highlight w:val="none"/>
        </w:rPr>
      </w:pPr>
      <w:r>
        <w:rPr>
          <w:rFonts w:ascii="宋体" w:hAnsi="宋体"/>
          <w:sz w:val="21"/>
          <w:szCs w:val="21"/>
          <w:highlight w:val="none"/>
        </w:rPr>
        <w:t xml:space="preserve">疾人福利单位、监狱企业）的协议合同金额占到联合体协议合同总金额30%以上的，给予联</w:t>
      </w:r>
      <w:r>
        <w:rPr>
          <w:rFonts w:ascii="宋体" w:hAnsi="宋体"/>
          <w:sz w:val="21"/>
          <w:szCs w:val="21"/>
          <w:highlight w:val="none"/>
        </w:rPr>
      </w:r>
      <w:r/>
    </w:p>
    <w:p>
      <w:pPr>
        <w:pStyle w:val="1028"/>
        <w:ind w:left="420" w:hanging="420"/>
        <w:rPr>
          <w:rFonts w:ascii="宋体" w:hAnsi="宋体"/>
          <w:sz w:val="21"/>
          <w:szCs w:val="21"/>
          <w:highlight w:val="none"/>
        </w:rPr>
      </w:pPr>
      <w:r>
        <w:rPr>
          <w:rFonts w:ascii="宋体" w:hAnsi="宋体"/>
          <w:sz w:val="21"/>
          <w:szCs w:val="21"/>
          <w:highlight w:val="none"/>
        </w:rPr>
        <w:t xml:space="preserve">合体</w:t>
      </w:r>
      <w:r>
        <w:rPr>
          <w:rFonts w:hint="eastAsia" w:ascii="宋体" w:hAnsi="宋体"/>
          <w:sz w:val="21"/>
          <w:szCs w:val="21"/>
          <w:highlight w:val="none"/>
        </w:rPr>
        <w:t xml:space="preserve">6</w:t>
      </w:r>
      <w:r>
        <w:rPr>
          <w:rFonts w:ascii="宋体" w:hAnsi="宋体"/>
          <w:sz w:val="21"/>
          <w:szCs w:val="21"/>
          <w:highlight w:val="none"/>
        </w:rPr>
        <w:t xml:space="preserve">%的价格扣除，用扣除后的价格参与评审。</w:t>
      </w:r>
      <w:r>
        <w:rPr>
          <w:rFonts w:ascii="宋体" w:hAnsi="宋体"/>
          <w:sz w:val="21"/>
          <w:szCs w:val="21"/>
          <w:highlight w:val="none"/>
        </w:rPr>
      </w:r>
      <w:r/>
    </w:p>
    <w:p>
      <w:pPr>
        <w:pStyle w:val="1028"/>
        <w:ind w:left="420" w:firstLine="0"/>
        <w:rPr>
          <w:rFonts w:ascii="宋体" w:hAnsi="宋体"/>
          <w:sz w:val="21"/>
          <w:szCs w:val="21"/>
          <w:highlight w:val="none"/>
        </w:rPr>
      </w:pPr>
      <w:r>
        <w:rPr>
          <w:rFonts w:ascii="宋体" w:hAnsi="宋体"/>
          <w:sz w:val="21"/>
          <w:szCs w:val="21"/>
          <w:highlight w:val="none"/>
        </w:rPr>
        <w:t xml:space="preserve">6、联合体各方均为小型、微型企业（残疾人福利单位、监狱企业）的，联合体享受</w:t>
      </w:r>
      <w:r>
        <w:rPr>
          <w:rFonts w:hint="eastAsia" w:ascii="宋体" w:hAnsi="宋体"/>
          <w:sz w:val="21"/>
          <w:szCs w:val="21"/>
          <w:highlight w:val="none"/>
        </w:rPr>
        <w:t xml:space="preserve">20</w:t>
      </w:r>
      <w:r>
        <w:rPr>
          <w:rFonts w:ascii="宋体" w:hAnsi="宋体"/>
          <w:sz w:val="21"/>
          <w:szCs w:val="21"/>
          <w:highlight w:val="none"/>
        </w:rPr>
        <w:t xml:space="preserve">%</w:t>
      </w:r>
      <w:r>
        <w:rPr>
          <w:rFonts w:ascii="宋体" w:hAnsi="宋体"/>
          <w:sz w:val="21"/>
          <w:szCs w:val="21"/>
          <w:highlight w:val="none"/>
        </w:rPr>
      </w:r>
      <w:r/>
    </w:p>
    <w:p>
      <w:pPr>
        <w:pStyle w:val="1028"/>
        <w:ind w:left="420" w:hanging="420"/>
        <w:rPr>
          <w:rFonts w:ascii="宋体" w:hAnsi="宋体"/>
          <w:sz w:val="21"/>
          <w:szCs w:val="21"/>
          <w:highlight w:val="none"/>
        </w:rPr>
      </w:pPr>
      <w:r>
        <w:rPr>
          <w:rFonts w:ascii="宋体" w:hAnsi="宋体"/>
          <w:sz w:val="21"/>
          <w:szCs w:val="21"/>
          <w:highlight w:val="none"/>
        </w:rPr>
        <w:t xml:space="preserve">价格扣除，用扣除后的价格参与评审。</w:t>
      </w:r>
      <w:r>
        <w:rPr>
          <w:rFonts w:ascii="宋体" w:hAnsi="宋体"/>
          <w:sz w:val="21"/>
          <w:szCs w:val="21"/>
          <w:highlight w:val="none"/>
        </w:rPr>
      </w:r>
      <w:r/>
    </w:p>
    <w:p>
      <w:pPr>
        <w:pStyle w:val="1028"/>
        <w:ind w:firstLine="420"/>
        <w:rPr>
          <w:rFonts w:hint="eastAsia" w:ascii="宋体" w:hAnsi="宋体"/>
          <w:b w:val="0"/>
          <w:bCs/>
          <w:color w:val="000000"/>
          <w:sz w:val="21"/>
          <w:szCs w:val="21"/>
          <w:highlight w:val="none"/>
        </w:rPr>
        <w:outlineLvl w:val="1"/>
      </w:pPr>
      <w:r>
        <w:rPr>
          <w:rFonts w:hint="eastAsia" w:ascii="宋体" w:hAnsi="宋体"/>
          <w:sz w:val="21"/>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b w:val="0"/>
          <w:bCs/>
          <w:color w:val="000000"/>
          <w:sz w:val="21"/>
          <w:szCs w:val="21"/>
          <w:highlight w:val="none"/>
        </w:rPr>
      </w:r>
      <w:r/>
    </w:p>
    <w:p>
      <w:pPr>
        <w:pStyle w:val="1028"/>
        <w:ind w:firstLine="422"/>
        <w:rPr>
          <w:rFonts w:ascii="宋体" w:hAnsi="宋体"/>
          <w:b/>
          <w:color w:val="000000"/>
          <w:sz w:val="21"/>
          <w:szCs w:val="21"/>
          <w:highlight w:val="none"/>
          <w:lang w:val="en-US" w:eastAsia="zh-CN"/>
        </w:rPr>
        <w:outlineLvl w:val="1"/>
      </w:pPr>
      <w:r>
        <w:rPr>
          <w:rFonts w:hint="eastAsia" w:ascii="宋体" w:hAnsi="宋体"/>
          <w:b/>
          <w:color w:val="000000"/>
          <w:sz w:val="21"/>
          <w:szCs w:val="21"/>
          <w:highlight w:val="none"/>
          <w:lang w:val="en-US" w:eastAsia="zh-CN"/>
        </w:rPr>
        <w:t xml:space="preserve">三、</w:t>
      </w:r>
      <w:r>
        <w:rPr>
          <w:rFonts w:hint="eastAsia" w:ascii="宋体" w:hAnsi="宋体"/>
          <w:b/>
          <w:color w:val="000000"/>
          <w:sz w:val="21"/>
          <w:szCs w:val="21"/>
          <w:highlight w:val="none"/>
        </w:rPr>
        <w:t xml:space="preserve">评标标准</w:t>
      </w:r>
      <w:r>
        <w:rPr>
          <w:rFonts w:ascii="宋体" w:hAnsi="宋体"/>
          <w:b/>
          <w:color w:val="000000"/>
          <w:sz w:val="21"/>
          <w:szCs w:val="21"/>
          <w:highlight w:val="none"/>
          <w:lang w:val="en-US" w:eastAsia="zh-CN"/>
        </w:rPr>
      </w:r>
      <w:r/>
    </w:p>
    <w:tbl>
      <w:tblPr>
        <w:tblW w:w="9099" w:type="dxa"/>
        <w:tblInd w:w="-2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66"/>
        <w:gridCol w:w="7433"/>
      </w:tblGrid>
      <w:tr>
        <w:trPr>
          <w:trHeight w:val="694"/>
        </w:trPr>
        <w:tc>
          <w:tcPr>
            <w:tcW w:w="1666" w:type="dxa"/>
            <w:vAlign w:val="center"/>
            <w:textDirection w:val="lrTb"/>
            <w:noWrap w:val="false"/>
          </w:tcPr>
          <w:p>
            <w:pPr>
              <w:pStyle w:val="973"/>
              <w:jc w:val="center"/>
              <w:spacing w:line="320" w:lineRule="exact"/>
              <w:widowControl/>
              <w:rPr>
                <w:rFonts w:ascii="宋体" w:hAnsi="宋体"/>
                <w:b/>
                <w:bCs/>
                <w:sz w:val="21"/>
                <w:szCs w:val="21"/>
                <w:highlight w:val="none"/>
              </w:rPr>
            </w:pPr>
            <w:r/>
            <w:bookmarkEnd w:id="54"/>
            <w:r>
              <w:rPr>
                <w:rFonts w:hint="eastAsia" w:ascii="宋体" w:hAnsi="宋体"/>
                <w:b/>
                <w:bCs/>
                <w:sz w:val="21"/>
                <w:szCs w:val="21"/>
                <w:highlight w:val="none"/>
              </w:rPr>
              <w:t xml:space="preserve">评分因素</w:t>
            </w:r>
            <w:r>
              <w:rPr>
                <w:rFonts w:ascii="宋体" w:hAnsi="宋体"/>
                <w:b/>
                <w:bCs/>
                <w:sz w:val="21"/>
                <w:szCs w:val="21"/>
                <w:highlight w:val="none"/>
              </w:rPr>
            </w:r>
            <w:r/>
          </w:p>
        </w:tc>
        <w:tc>
          <w:tcPr>
            <w:tcW w:w="7433" w:type="dxa"/>
            <w:vAlign w:val="center"/>
            <w:textDirection w:val="lrTb"/>
            <w:noWrap w:val="false"/>
          </w:tcPr>
          <w:p>
            <w:pPr>
              <w:pStyle w:val="973"/>
              <w:jc w:val="center"/>
              <w:spacing w:line="320" w:lineRule="exact"/>
              <w:widowControl/>
              <w:rPr>
                <w:rFonts w:ascii="宋体" w:hAnsi="宋体"/>
                <w:b/>
                <w:bCs/>
                <w:sz w:val="21"/>
                <w:szCs w:val="21"/>
                <w:highlight w:val="none"/>
              </w:rPr>
            </w:pPr>
            <w:r>
              <w:rPr>
                <w:rFonts w:hint="eastAsia" w:ascii="宋体" w:hAnsi="宋体"/>
                <w:b/>
                <w:bCs/>
                <w:sz w:val="21"/>
                <w:szCs w:val="21"/>
                <w:highlight w:val="none"/>
              </w:rPr>
              <w:t xml:space="preserve">评分内容及办法</w:t>
            </w:r>
            <w:r>
              <w:rPr>
                <w:rFonts w:ascii="宋体" w:hAnsi="宋体"/>
                <w:b/>
                <w:bCs/>
                <w:sz w:val="21"/>
                <w:szCs w:val="21"/>
                <w:highlight w:val="none"/>
              </w:rPr>
            </w:r>
            <w:r/>
          </w:p>
        </w:tc>
      </w:tr>
      <w:tr>
        <w:trPr>
          <w:trHeight w:val="1123"/>
        </w:trPr>
        <w:tc>
          <w:tcPr>
            <w:tcW w:w="1666" w:type="dxa"/>
            <w:vAlign w:val="center"/>
            <w:textDirection w:val="lrTb"/>
            <w:noWrap w:val="false"/>
          </w:tcPr>
          <w:p>
            <w:pPr>
              <w:pStyle w:val="97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rPr>
                <w:rFonts w:hint="eastAsia" w:ascii="宋体" w:hAnsi="宋体" w:eastAsia="宋体" w:cs="宋体"/>
                <w:sz w:val="21"/>
                <w:szCs w:val="21"/>
                <w:highlight w:val="none"/>
              </w:rPr>
            </w:r>
            <w:r/>
          </w:p>
          <w:p>
            <w:pPr>
              <w:pStyle w:val="973"/>
              <w:jc w:val="center"/>
              <w:rPr>
                <w:rFonts w:ascii="宋体" w:hAnsi="宋体" w:eastAsia="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分）</w:t>
            </w:r>
            <w:r>
              <w:rPr>
                <w:rFonts w:ascii="宋体" w:hAnsi="宋体" w:eastAsia="宋体"/>
                <w:sz w:val="21"/>
                <w:szCs w:val="21"/>
                <w:highlight w:val="none"/>
                <w:lang w:val="en-US" w:eastAsia="zh-CN"/>
              </w:rPr>
            </w:r>
            <w:r/>
          </w:p>
        </w:tc>
        <w:tc>
          <w:tcPr>
            <w:tcW w:w="7433" w:type="dxa"/>
            <w:vAlign w:val="center"/>
            <w:textDirection w:val="lrTb"/>
            <w:noWrap w:val="false"/>
          </w:tcPr>
          <w:p>
            <w:pPr>
              <w:pStyle w:val="973"/>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满足招标文件要求且投标价格最低的有效投标报价为评标基准价，其价格分为满分。其他投标人的价格分统一按照下列公式计算：</w:t>
            </w:r>
            <w:r>
              <w:rPr>
                <w:rFonts w:hint="eastAsia" w:ascii="宋体" w:hAnsi="宋体" w:eastAsia="宋体" w:cs="宋体"/>
                <w:sz w:val="21"/>
                <w:szCs w:val="21"/>
                <w:highlight w:val="none"/>
              </w:rPr>
            </w:r>
            <w:r/>
          </w:p>
          <w:p>
            <w:pPr>
              <w:pStyle w:val="973"/>
              <w:rPr>
                <w:rFonts w:hint="eastAsia"/>
                <w:sz w:val="21"/>
                <w:szCs w:val="21"/>
                <w:highlight w:val="none"/>
              </w:rPr>
            </w:pPr>
            <w:r>
              <w:rPr>
                <w:rFonts w:hint="eastAsia" w:ascii="宋体" w:hAnsi="宋体" w:eastAsia="宋体" w:cs="宋体"/>
                <w:sz w:val="21"/>
                <w:szCs w:val="21"/>
                <w:highlight w:val="none"/>
              </w:rPr>
              <w:t xml:space="preserve">投标报价得分=（评标基准价／投标报价)×</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。（小数点保留两位）</w:t>
            </w:r>
            <w:r>
              <w:rPr>
                <w:rFonts w:hint="eastAsia"/>
                <w:sz w:val="21"/>
                <w:szCs w:val="21"/>
                <w:highlight w:val="none"/>
              </w:rPr>
            </w:r>
            <w:r/>
          </w:p>
        </w:tc>
      </w:tr>
      <w:tr>
        <w:trPr>
          <w:trHeight w:val="1612"/>
        </w:trPr>
        <w:tc>
          <w:tcPr>
            <w:tcW w:w="1666" w:type="dxa"/>
            <w:vAlign w:val="center"/>
            <w:vMerge w:val="restart"/>
            <w:textDirection w:val="lrTb"/>
            <w:noWrap w:val="false"/>
          </w:tcPr>
          <w:p>
            <w:pPr>
              <w:pStyle w:val="973"/>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技术方案</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（40分）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73"/>
              <w:ind w:left="0" w:firstLine="420"/>
              <w:keepLines w:val="0"/>
              <w:keepNext w:val="0"/>
              <w:pageBreakBefore w:val="0"/>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1、根据招标文件中业务现状描述，投标人需结合仪征排水系统实际情况进行问题分析，总结归纳当前仪征排水系统存在的问题并给出合理化建议。方案需清晰，描述准确、全面、完整，内容科学合理有针对性。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（方案优于招标要求的得5分；符合招标要求的得3分，不符合招标要求或未提供的不得分。）</w:t>
            </w:r>
            <w:r>
              <w:rPr>
                <w:rFonts w:hint="eastAsia" w:ascii="宋体" w:hAnsi="宋体" w:eastAsia="宋体" w:cs="宋体"/>
                <w:sz w:val="21"/>
                <w:szCs w:val="21"/>
                <w:highlight w:val="none"/>
                <w:lang w:val="en-US" w:eastAsia="zh-CN"/>
              </w:rPr>
            </w:r>
            <w:r/>
          </w:p>
        </w:tc>
      </w:tr>
      <w:tr>
        <w:trPr>
          <w:trHeight w:val="1441"/>
        </w:trPr>
        <w:tc>
          <w:tcPr>
            <w:tcW w:w="1666" w:type="dxa"/>
            <w:vAlign w:val="center"/>
            <w:vMerge w:val="continue"/>
            <w:textDirection w:val="lrTb"/>
            <w:noWrap w:val="false"/>
          </w:tcPr>
          <w:p>
            <w:pPr>
              <w:pStyle w:val="973"/>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73"/>
              <w:ind w:firstLine="420"/>
              <w:jc w:val="both"/>
              <w:keepLines w:val="0"/>
              <w:keepNext w:val="0"/>
              <w:pageBreakBefore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2、根据招标文件中要求，投标人需提供排水系统进行架构设计，包括系统总架构、网络架构、数据资源架构。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（方案内容优于招标文件要求的得5分，符合招标文件要求的得3分，不符合招标文件要求或未提供的不得分）</w:t>
            </w:r>
            <w:r>
              <w:rPr>
                <w:rFonts w:hint="eastAsia" w:ascii="宋体" w:hAnsi="宋体" w:eastAsia="宋体" w:cs="宋体"/>
                <w:sz w:val="21"/>
                <w:szCs w:val="21"/>
                <w:highlight w:val="none"/>
                <w:lang w:val="en-US" w:eastAsia="zh-CN"/>
              </w:rPr>
            </w:r>
            <w:r/>
          </w:p>
        </w:tc>
      </w:tr>
      <w:tr>
        <w:trPr>
          <w:trHeight w:val="1375"/>
        </w:trPr>
        <w:tc>
          <w:tcPr>
            <w:tcW w:w="1666" w:type="dxa"/>
            <w:vAlign w:val="center"/>
            <w:vMerge w:val="continue"/>
            <w:textDirection w:val="lrTb"/>
            <w:noWrap w:val="false"/>
          </w:tcPr>
          <w:p>
            <w:pPr>
              <w:pStyle w:val="973"/>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73"/>
              <w:ind w:left="0" w:firstLine="420"/>
              <w:jc w:val="both"/>
              <w:keepLines w:val="0"/>
              <w:keepNext w:val="0"/>
              <w:pageBreakBefore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3、根据招标文件中要求，对投标人需提供排水综合管理专项平台的建设方案，包括业务逻辑、系统功能、技术实现路径。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（方案内容优于招标文件要求的得5分，符合招标文件要求的得3分，不符合招标文件要求或未提供的不得分）</w:t>
            </w:r>
            <w:r>
              <w:rPr>
                <w:rFonts w:hint="eastAsia" w:ascii="宋体" w:hAnsi="宋体" w:eastAsia="宋体" w:cs="宋体"/>
                <w:sz w:val="21"/>
                <w:szCs w:val="21"/>
                <w:highlight w:val="none"/>
                <w:lang w:val="en-US" w:eastAsia="zh-CN"/>
              </w:rPr>
            </w:r>
            <w:r/>
          </w:p>
        </w:tc>
      </w:tr>
      <w:tr>
        <w:trPr>
          <w:trHeight w:val="1401"/>
        </w:trPr>
        <w:tc>
          <w:tcPr>
            <w:tcW w:w="1666" w:type="dxa"/>
            <w:vAlign w:val="center"/>
            <w:vMerge w:val="continue"/>
            <w:textDirection w:val="lrTb"/>
            <w:noWrap w:val="false"/>
          </w:tcPr>
          <w:p>
            <w:pPr>
              <w:pStyle w:val="973"/>
              <w:ind w:firstLine="0"/>
              <w:jc w:val="center"/>
              <w:keepLines w:val="0"/>
              <w:keepNext w:val="0"/>
              <w:pageBreakBefore w:val="0"/>
              <w:spacing w:line="360" w:lineRule="exact"/>
              <w:shd w:val="clear" w:color="auto" w:fill="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73"/>
              <w:ind w:left="0" w:firstLine="420"/>
              <w:jc w:val="both"/>
              <w:keepLines w:val="0"/>
              <w:keepNext w:val="0"/>
              <w:pageBreakBefore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4、根据招标文件中要求，对投标人需提供数据分析服务平台的建设方案，包括业务逻辑、算法服务、数据治理。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（方案内容优于招标文件要求的得5分，符合招标文件要求的得3分，不符合招标文件要求或未提供的不得分）</w:t>
            </w:r>
            <w:r>
              <w:rPr>
                <w:rFonts w:hint="eastAsia" w:ascii="宋体" w:hAnsi="宋体" w:eastAsia="宋体" w:cs="宋体"/>
                <w:sz w:val="21"/>
                <w:szCs w:val="21"/>
                <w:highlight w:val="none"/>
                <w:lang w:val="en-US" w:eastAsia="zh-CN"/>
              </w:rPr>
            </w:r>
            <w:r/>
          </w:p>
        </w:tc>
      </w:tr>
      <w:tr>
        <w:trPr>
          <w:trHeight w:val="1071"/>
        </w:trPr>
        <w:tc>
          <w:tcPr>
            <w:tcW w:w="1666" w:type="dxa"/>
            <w:vAlign w:val="center"/>
            <w:vMerge w:val="continue"/>
            <w:textDirection w:val="lrTb"/>
            <w:noWrap w:val="false"/>
          </w:tcPr>
          <w:p>
            <w:pPr>
              <w:pStyle w:val="973"/>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73"/>
              <w:ind w:left="0" w:firstLine="420"/>
              <w:jc w:val="both"/>
              <w:keepLines w:val="0"/>
              <w:keepNext w:val="0"/>
              <w:pageBreakBefore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5、根据招标文件中要求，对投标人需提供外部系统对接方案，包括生命线平台、现有泵站管理平台以及新安装和利旧检测设备。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（方案内容优于招标文件要求的得5分，符合招标文件要求的得3分，不符合招标文件要求或未提供的不得分）</w:t>
            </w:r>
            <w:r>
              <w:rPr>
                <w:rFonts w:hint="eastAsia" w:ascii="宋体" w:hAnsi="宋体" w:eastAsia="宋体" w:cs="宋体"/>
                <w:sz w:val="21"/>
                <w:szCs w:val="21"/>
                <w:highlight w:val="none"/>
                <w:lang w:val="en-US" w:eastAsia="zh-CN"/>
              </w:rPr>
            </w:r>
            <w:r/>
          </w:p>
        </w:tc>
      </w:tr>
      <w:tr>
        <w:trPr>
          <w:trHeight w:val="526"/>
        </w:trPr>
        <w:tc>
          <w:tcPr>
            <w:tcW w:w="1666" w:type="dxa"/>
            <w:vAlign w:val="center"/>
            <w:vMerge w:val="continue"/>
            <w:textDirection w:val="lrTb"/>
            <w:noWrap w:val="false"/>
          </w:tcPr>
          <w:p>
            <w:pPr>
              <w:pStyle w:val="973"/>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73"/>
              <w:ind w:left="0" w:firstLine="420"/>
              <w:jc w:val="both"/>
              <w:keepLines w:val="0"/>
              <w:keepNext w:val="0"/>
              <w:pageBreakBefore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6、根据招标文件中要求，对投标人需提供系统安全保障方案。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（方案内容优于招标文件要求的得5分，符合招标文件要求的得3分，不符合招标文件要求或未提供的不得分）</w:t>
            </w:r>
            <w:r>
              <w:rPr>
                <w:rFonts w:hint="eastAsia" w:ascii="宋体" w:hAnsi="宋体" w:eastAsia="宋体" w:cs="宋体"/>
                <w:sz w:val="21"/>
                <w:szCs w:val="21"/>
                <w:highlight w:val="none"/>
                <w:lang w:val="en-US" w:eastAsia="zh-CN"/>
              </w:rPr>
            </w:r>
            <w:r/>
          </w:p>
        </w:tc>
      </w:tr>
      <w:tr>
        <w:trPr>
          <w:trHeight w:val="526"/>
        </w:trPr>
        <w:tc>
          <w:tcPr>
            <w:tcW w:w="1666" w:type="dxa"/>
            <w:vAlign w:val="center"/>
            <w:vMerge w:val="continue"/>
            <w:textDirection w:val="lrTb"/>
            <w:noWrap w:val="false"/>
          </w:tcPr>
          <w:p>
            <w:pPr>
              <w:pStyle w:val="973"/>
              <w:ind w:left="0" w:firstLine="0"/>
              <w:rPr>
                <w:highlight w:val="none"/>
              </w:rPr>
            </w:pPr>
            <w:r>
              <w:rPr>
                <w:highlight w:val="none"/>
              </w:rPr>
            </w:r>
            <w:r/>
          </w:p>
        </w:tc>
        <w:tc>
          <w:tcPr>
            <w:tcW w:w="7433" w:type="dxa"/>
            <w:vAlign w:val="center"/>
            <w:textDirection w:val="lrTb"/>
            <w:noWrap w:val="false"/>
          </w:tcPr>
          <w:p>
            <w:pPr>
              <w:pStyle w:val="973"/>
              <w:ind w:left="0" w:firstLine="420"/>
              <w:jc w:val="both"/>
              <w:keepLines w:val="0"/>
              <w:keepNext w:val="0"/>
              <w:pageBreakBefore w:val="0"/>
              <w:widowControl/>
              <w:rPr>
                <w:rFonts w:hint="eastAsia" w:ascii="宋体" w:hAnsi="宋体" w:eastAsia="宋体" w:cs="宋体"/>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7、根据招标文件中要求，对投标人需提供施工组织方案，方案包括人员保障、实施策略、实施计划以及进度保障措施。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（方案内容优于招标文件要求的得5分，符合招标文件要求的得3分，不符合招标文件要求或未提供的不得分）</w:t>
            </w:r>
            <w:r>
              <w:rPr>
                <w:rFonts w:hint="eastAsia" w:ascii="宋体" w:hAnsi="宋体" w:eastAsia="宋体" w:cs="宋体"/>
                <w:sz w:val="21"/>
                <w:szCs w:val="21"/>
                <w:highlight w:val="none"/>
                <w:lang w:eastAsia="zh-CN"/>
              </w:rPr>
            </w:r>
            <w:r/>
          </w:p>
        </w:tc>
      </w:tr>
      <w:tr>
        <w:trPr>
          <w:trHeight w:val="526"/>
        </w:trPr>
        <w:tc>
          <w:tcPr>
            <w:tcW w:w="1666" w:type="dxa"/>
            <w:vAlign w:val="center"/>
            <w:vMerge w:val="continue"/>
            <w:textDirection w:val="lrTb"/>
            <w:noWrap w:val="false"/>
          </w:tcPr>
          <w:p>
            <w:pPr>
              <w:pStyle w:val="973"/>
              <w:ind w:left="0" w:firstLine="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7433" w:type="dxa"/>
            <w:vAlign w:val="center"/>
            <w:textDirection w:val="lrTb"/>
            <w:noWrap w:val="false"/>
          </w:tcPr>
          <w:p>
            <w:pPr>
              <w:pStyle w:val="973"/>
              <w:ind w:left="0" w:firstLine="420"/>
              <w:jc w:val="both"/>
              <w:keepLines w:val="0"/>
              <w:keepNext w:val="0"/>
              <w:pageBreakBefore w:val="0"/>
              <w:widowControl/>
              <w:rPr>
                <w:rFonts w:hint="eastAsia" w:ascii="宋体" w:hAnsi="宋体" w:eastAsia="宋体" w:cs="宋体"/>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8、根据招标文件中要求，对投标人需提供项目运行维护方案，方案包括系统维护、信息资源维护以及设备维护。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（方案内容优于招标文件要求的得5分，符合招标文件要求的得3分，不符合招标文件要求或未提供的不得分）</w:t>
            </w:r>
            <w:r>
              <w:rPr>
                <w:rFonts w:hint="eastAsia" w:ascii="宋体" w:hAnsi="宋体" w:eastAsia="宋体" w:cs="宋体"/>
                <w:sz w:val="21"/>
                <w:szCs w:val="21"/>
                <w:highlight w:val="none"/>
                <w:lang w:eastAsia="zh-CN"/>
              </w:rPr>
            </w:r>
            <w:r/>
          </w:p>
        </w:tc>
      </w:tr>
      <w:tr>
        <w:trPr>
          <w:trHeight w:val="1021"/>
        </w:trPr>
        <w:tc>
          <w:tcPr>
            <w:tcW w:w="1666" w:type="dxa"/>
            <w:vAlign w:val="center"/>
            <w:textDirection w:val="lrTb"/>
            <w:noWrap w:val="false"/>
          </w:tcPr>
          <w:p>
            <w:pPr>
              <w:pStyle w:val="97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业务系统演示</w:t>
            </w:r>
            <w:r>
              <w:rPr>
                <w:rFonts w:hint="eastAsia" w:ascii="宋体" w:hAnsi="宋体" w:eastAsia="宋体" w:cs="宋体"/>
                <w:sz w:val="21"/>
                <w:szCs w:val="21"/>
                <w:highlight w:val="none"/>
              </w:rPr>
            </w:r>
            <w:r/>
          </w:p>
          <w:p>
            <w:pPr>
              <w:pStyle w:val="973"/>
              <w:jc w:val="center"/>
              <w:rPr>
                <w:rFonts w:hint="eastAsia" w:ascii="宋体" w:hAnsi="宋体" w:eastAsia="宋体" w:cs="Times New Roman"/>
                <w:sz w:val="21"/>
                <w:szCs w:val="21"/>
                <w:highlight w:val="none"/>
                <w:lang w:val="en-US" w:eastAsia="zh-CN"/>
              </w:rPr>
            </w:pPr>
            <w:r>
              <w:rPr>
                <w:rFonts w:hint="eastAsia" w:ascii="宋体" w:hAnsi="宋体" w:eastAsia="宋体" w:cs="宋体"/>
                <w:sz w:val="21"/>
                <w:szCs w:val="21"/>
                <w:highlight w:val="none"/>
                <w:lang w:val="en-US" w:eastAsia="zh-CN"/>
              </w:rPr>
              <w:t xml:space="preserve">(18分)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73"/>
              <w:numPr>
                <w:ilvl w:val="0"/>
                <w:numId w:val="0"/>
              </w:numPr>
              <w:ind w:firstLine="420"/>
              <w:jc w:val="both"/>
              <w:rPr>
                <w:rFonts w:hint="eastAsia" w:ascii="宋体" w:hAnsi="宋体" w:eastAsia="宋体" w:cs="Times New Roman"/>
                <w:color w:val="000000"/>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招标文件的采购需求，供应商提供真实软件的视频展示，且演示的底图需为仪征市地图；以ppt、系统原型或其他非功能系统演示方式不得分，视频帧须保持前后连续性，不得使用剪辑嫁接后期制作而成），如不按以上要求摄录，视频演示不得分；演示时长不得超过15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    1、排水综合管理专项平台（GIS综合管理平台）的内置GIS地图包含三种，包含但不限于：矢量地图、卫星影像地图、地形图；且支持三种底图无缝切换，满足上述功能得3分，否则不得分。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    2、排水综合管理专项平台（GIS综合管理平台）监测对象包含：仪征市的河湖、入河排口、排水户排口、雨水管网、污水管网、泵站、闸门、污水处理厂；每一个监测对象均设置为一个独有的图层，且可以通过勾选的方式进行图层筛选，快速筛选出对应的监测对象。满足上述功能得3分，否则不得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    3、排水综合管理专项平台（GIS综合管理平台）支持对监测范围进行GIS展示；监测范围包含：雨水系统、污水系统。雨水系统为单独一个图层，能显示仪征各个合流的雨水流向和收水范围，污水系统为单独一个图层，能显示各个管理片区的污水收水范围。满足上述功能得3分，否则不得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    4、排水综合管理专项平台（GIS综合管理平台）支持对数据报告进行GIS展示；数据报告包含：水质报告、液位报告。按类别按颜色（红、橙、黄、蓝）对数据报告进行分级分类展示，每一类数据报告均设置为一个独有的图层，且可以通过勾选的方式进行图层筛选，快速筛选出对应的数据报告。满足上述功能得3分，否则不得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    5、入河排口图层展示的数据能够充分展示当地入河排口的基本项目情况包含：排口标识码、排水系统编码、经纬度、底部高程、出流方式、排口名称、断面数据、地表高程、排放口关键水质指标COD。满足上述功能得3分，否则不得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   6、泵站拓扑图层展示的数据能够充分展示当地泵站的拓扑关系，能显示各个泵站在GIS的定位。拓扑图层能动态展示污水如何从四级泵站经过三级、二级、一级泵站流向污水处理厂，拓扑图能动态显示污水流向。满足上述功能得3分，否则不得分。</w:t>
            </w:r>
            <w:r>
              <w:rPr>
                <w:rFonts w:hint="eastAsia" w:ascii="宋体" w:hAnsi="宋体" w:eastAsia="宋体" w:cs="Times New Roman"/>
                <w:color w:val="000000"/>
                <w:sz w:val="21"/>
                <w:szCs w:val="21"/>
                <w:highlight w:val="none"/>
                <w:lang w:val="en-US" w:eastAsia="zh-CN"/>
              </w:rPr>
            </w:r>
            <w:r/>
          </w:p>
        </w:tc>
      </w:tr>
      <w:tr>
        <w:trPr>
          <w:trHeight w:val="1341"/>
        </w:trPr>
        <w:tc>
          <w:tcPr>
            <w:tcW w:w="1666" w:type="dxa"/>
            <w:vAlign w:val="center"/>
            <w:textDirection w:val="lrTb"/>
            <w:noWrap w:val="false"/>
          </w:tcPr>
          <w:p>
            <w:pPr>
              <w:pStyle w:val="973"/>
              <w:jc w:val="center"/>
              <w:keepLines w:val="0"/>
              <w:keepNext w:val="0"/>
              <w:widowControl/>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企业实力</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（12分）</w:t>
            </w:r>
            <w:r>
              <w:rPr>
                <w:rFonts w:hint="eastAsia" w:ascii="宋体" w:hAnsi="宋体" w:eastAsia="宋体" w:cs="宋体"/>
                <w:b w:val="0"/>
                <w:bCs w:val="0"/>
                <w:color w:val="000000"/>
                <w:sz w:val="21"/>
                <w:szCs w:val="21"/>
                <w:highlight w:val="none"/>
                <w:lang w:val="en-US" w:eastAsia="zh-CN" w:bidi="ar-SA"/>
              </w:rPr>
            </w:r>
            <w:r/>
          </w:p>
        </w:tc>
        <w:tc>
          <w:tcPr>
            <w:tcW w:w="7433" w:type="dxa"/>
            <w:vAlign w:val="center"/>
            <w:textDirection w:val="lrTb"/>
            <w:noWrap w:val="false"/>
          </w:tcPr>
          <w:p>
            <w:pPr>
              <w:pStyle w:val="973"/>
              <w:ind w:firstLine="440"/>
              <w:jc w:val="left"/>
              <w:keepLines w:val="0"/>
              <w:keepNext w:val="0"/>
              <w:widowControl/>
              <w:rPr>
                <w:rFonts w:hint="eastAsia" w:ascii="仿宋" w:hAnsi="仿宋" w:eastAsia="仿宋" w:cs="仿宋"/>
                <w:b w:val="0"/>
                <w:bCs w:val="0"/>
                <w:color w:val="000000"/>
                <w:sz w:val="21"/>
                <w:szCs w:val="21"/>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1、投标人具有信息系统建设和服务能力(CS4)及以上证书得3分；具有信息系统建设和服务能力(CS3)证书得2分；具有信息系统建设和服务能力(CS2)证书得1分，其他不得分。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2、投标人具有信息技术服务标准符合性证书（ITSS）运行维护一级得3分，二级得2分，二级以下得1分，未提供不得分。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3、投标人具有GB/T 27922-2011《商品售后服务评价体系》5星级及以上得3分，四星级得2分，四星级以下得1分，未提供的不得分。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4、投标人具有CN-IETS 信息化工程与技术服务能力评价证书卓越级得3分，一级得2分，二级及以下得1分，未提供的不得分。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b/>
                <w:bCs/>
                <w:i w:val="0"/>
                <w:iCs w:val="0"/>
                <w:color w:val="000000"/>
                <w:sz w:val="22"/>
                <w:szCs w:val="22"/>
                <w:highlight w:val="none"/>
                <w:u w:val="none"/>
                <w:lang w:val="en-US" w:eastAsia="zh-CN" w:bidi="ar"/>
              </w:rPr>
              <w:t xml:space="preserve">（提供以上有效期内的相关证书原件扫描上传，</w:t>
            </w:r>
            <w:r>
              <w:rPr>
                <w:rFonts w:hint="eastAsia" w:ascii="宋体" w:hAnsi="宋体" w:eastAsia="宋体" w:cs="宋体"/>
                <w:b/>
                <w:bCs/>
                <w:i w:val="0"/>
                <w:iCs w:val="0"/>
                <w:color w:val="000000"/>
                <w:sz w:val="21"/>
                <w:szCs w:val="21"/>
                <w:highlight w:val="none"/>
                <w:u w:val="none"/>
                <w:lang w:val="en-US" w:eastAsia="zh-CN" w:bidi="ar"/>
              </w:rPr>
              <w:t xml:space="preserve">未提供的不得分</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仿宋" w:hAnsi="仿宋" w:eastAsia="仿宋" w:cs="仿宋"/>
                <w:b w:val="0"/>
                <w:bCs w:val="0"/>
                <w:color w:val="000000"/>
                <w:sz w:val="21"/>
                <w:szCs w:val="21"/>
                <w:highlight w:val="none"/>
                <w:lang w:val="en-US" w:eastAsia="zh-CN"/>
              </w:rPr>
            </w:r>
            <w:r/>
          </w:p>
        </w:tc>
      </w:tr>
      <w:tr>
        <w:trPr>
          <w:trHeight w:val="965"/>
        </w:trPr>
        <w:tc>
          <w:tcPr>
            <w:tcW w:w="1666" w:type="dxa"/>
            <w:vAlign w:val="center"/>
            <w:vMerge w:val="restart"/>
            <w:textDirection w:val="lrTb"/>
            <w:noWrap w:val="false"/>
          </w:tcPr>
          <w:p>
            <w:pPr>
              <w:pStyle w:val="973"/>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项目团队</w:t>
            </w:r>
            <w:r>
              <w:rPr>
                <w:rFonts w:hint="eastAsia" w:ascii="宋体" w:hAnsi="宋体" w:eastAsia="宋体" w:cs="宋体"/>
                <w:color w:val="000000"/>
                <w:sz w:val="21"/>
                <w:szCs w:val="21"/>
                <w:highlight w:val="none"/>
              </w:rPr>
            </w:r>
            <w:r/>
          </w:p>
          <w:p>
            <w:pPr>
              <w:pStyle w:val="973"/>
              <w:jc w:val="center"/>
              <w:spacing w:line="276" w:lineRule="auto"/>
              <w:widowControl/>
              <w:rPr>
                <w:rFonts w:hint="eastAsia" w:ascii="宋体" w:hAnsi="宋体" w:eastAsia="宋体" w:cs="Times New Roman"/>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73"/>
              <w:jc w:val="both"/>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项目经理（4分）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投标人为本项目提供的1名项目经理，需要具备信息系统项目管理师证书、系统规划与管理师证书、ITSS信息技术应用创新服务经理证书，信息系统业务安全服务工程师证书，有一个得1分,满分4分。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（提供证书及投标人为其缴纳的近三个月内任意一个月的社保证明，原件扫描上传，未提供的不得分）</w:t>
            </w:r>
            <w:r>
              <w:rPr>
                <w:rFonts w:hint="eastAsia" w:ascii="宋体" w:hAnsi="宋体" w:eastAsia="宋体" w:cs="宋体"/>
                <w:sz w:val="21"/>
                <w:szCs w:val="21"/>
                <w:highlight w:val="none"/>
                <w:lang w:val="en-US" w:eastAsia="zh-CN"/>
              </w:rPr>
            </w:r>
            <w:r/>
          </w:p>
        </w:tc>
      </w:tr>
      <w:tr>
        <w:trPr>
          <w:trHeight w:val="797"/>
        </w:trPr>
        <w:tc>
          <w:tcPr>
            <w:tcW w:w="1666" w:type="dxa"/>
            <w:vAlign w:val="center"/>
            <w:vMerge w:val="continue"/>
            <w:textDirection w:val="lrTb"/>
            <w:noWrap w:val="false"/>
          </w:tcPr>
          <w:p>
            <w:pPr>
              <w:pStyle w:val="973"/>
              <w:numPr>
                <w:ilvl w:val="0"/>
                <w:numId w:val="0"/>
              </w:numPr>
              <w:ind w:left="0" w:firstLine="0"/>
              <w:jc w:val="center"/>
              <w:keepLines w:val="0"/>
              <w:keepNext w:val="0"/>
              <w:pageBreakBefore w:val="0"/>
              <w:spacing w:line="360" w:lineRule="exact"/>
              <w:shd w:val="clear" w:color="auto" w:fill="auto"/>
              <w:widowControl w:val="off"/>
              <w:rPr>
                <w:sz w:val="21"/>
                <w:szCs w:val="21"/>
                <w:highlight w:val="none"/>
              </w:rPr>
            </w:pPr>
            <w:r>
              <w:rPr>
                <w:sz w:val="21"/>
                <w:szCs w:val="21"/>
                <w:highlight w:val="none"/>
              </w:rPr>
            </w:r>
            <w:r/>
          </w:p>
        </w:tc>
        <w:tc>
          <w:tcPr>
            <w:tcW w:w="7433" w:type="dxa"/>
            <w:vAlign w:val="center"/>
            <w:textDirection w:val="lrTb"/>
            <w:noWrap w:val="false"/>
          </w:tcPr>
          <w:p>
            <w:pPr>
              <w:pStyle w:val="973"/>
              <w:jc w:val="both"/>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项目技术负责人（3分）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投标人为本项目提供的1名技术负责人，需要具备IT服务项目经理证书、数据库系统工程师证书、注册信息安全工程师 （CISP-CISE）证书，有一个得1分,满分3分。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（提供证书及投标人为其缴纳近三个月内任意一个月的社保证明，原件扫描上传，未提供的不得分）</w:t>
            </w:r>
            <w:r>
              <w:rPr>
                <w:rFonts w:hint="eastAsia" w:ascii="宋体" w:hAnsi="宋体" w:eastAsia="宋体" w:cs="宋体"/>
                <w:sz w:val="21"/>
                <w:szCs w:val="21"/>
                <w:highlight w:val="none"/>
                <w:lang w:val="en-US" w:eastAsia="zh-CN"/>
              </w:rPr>
            </w:r>
            <w:r/>
          </w:p>
        </w:tc>
      </w:tr>
      <w:tr>
        <w:trPr>
          <w:trHeight w:val="797"/>
        </w:trPr>
        <w:tc>
          <w:tcPr>
            <w:tcW w:w="1666" w:type="dxa"/>
            <w:vAlign w:val="center"/>
            <w:vMerge w:val="continue"/>
            <w:textDirection w:val="lrTb"/>
            <w:noWrap w:val="false"/>
          </w:tcPr>
          <w:p>
            <w:pPr>
              <w:pStyle w:val="973"/>
              <w:rPr>
                <w:highlight w:val="none"/>
              </w:rPr>
            </w:pPr>
            <w:r>
              <w:rPr>
                <w:highlight w:val="none"/>
              </w:rPr>
            </w:r>
            <w:r/>
          </w:p>
        </w:tc>
        <w:tc>
          <w:tcPr>
            <w:tcW w:w="7433" w:type="dxa"/>
            <w:vAlign w:val="center"/>
            <w:textDirection w:val="lrTb"/>
            <w:noWrap w:val="false"/>
          </w:tcPr>
          <w:p>
            <w:pPr>
              <w:pStyle w:val="973"/>
              <w:jc w:val="both"/>
              <w:keepLines w:val="0"/>
              <w:keepNext w:val="0"/>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项目组成员（不含项目经理、项目技术负责人，一人多证情形不重复计分）（4分）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投标人为本项目提供的项目组成员，需要具备系统架构设计师证书、软件设计师证书、用户研究工程师证书、软件测试工程师证书有一个得1分,满分4分。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（提供证书及投标人为其缴纳近三个月内任意一个月的社保证明，原件扫描上传，未提供的不得分）</w:t>
            </w:r>
            <w:r>
              <w:rPr>
                <w:rFonts w:hint="eastAsia" w:ascii="宋体" w:hAnsi="宋体" w:eastAsia="宋体" w:cs="宋体"/>
                <w:b/>
                <w:bCs/>
                <w:color w:val="000000"/>
                <w:sz w:val="21"/>
                <w:szCs w:val="21"/>
                <w:highlight w:val="none"/>
                <w:lang w:val="en-US" w:eastAsia="zh-CN"/>
              </w:rPr>
            </w:r>
            <w:r/>
          </w:p>
        </w:tc>
      </w:tr>
      <w:tr>
        <w:trPr>
          <w:trHeight w:val="1302"/>
        </w:trPr>
        <w:tc>
          <w:tcPr>
            <w:tcW w:w="1666" w:type="dxa"/>
            <w:vAlign w:val="center"/>
            <w:textDirection w:val="lrTb"/>
            <w:noWrap w:val="false"/>
          </w:tcPr>
          <w:p>
            <w:pPr>
              <w:pStyle w:val="973"/>
              <w:numPr>
                <w:ilvl w:val="0"/>
                <w:numId w:val="0"/>
              </w:numPr>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企业业绩</w:t>
            </w:r>
            <w:r>
              <w:rPr>
                <w:rFonts w:hint="eastAsia" w:ascii="宋体" w:hAnsi="宋体" w:eastAsia="宋体" w:cs="宋体"/>
                <w:color w:val="000000"/>
                <w:sz w:val="21"/>
                <w:szCs w:val="21"/>
                <w:highlight w:val="none"/>
                <w:lang w:val="en-US" w:eastAsia="zh-CN" w:bidi="ar-SA"/>
              </w:rPr>
            </w:r>
            <w:r/>
          </w:p>
          <w:p>
            <w:pPr>
              <w:pStyle w:val="973"/>
              <w:numPr>
                <w:ilvl w:val="0"/>
                <w:numId w:val="0"/>
              </w:numPr>
              <w:ind w:left="0" w:firstLine="0"/>
              <w:jc w:val="center"/>
              <w:keepLines w:val="0"/>
              <w:keepNext w:val="0"/>
              <w:pageBreakBefore w:val="0"/>
              <w:spacing w:line="360" w:lineRule="exact"/>
              <w:shd w:val="clear" w:color="auto" w:fill="auto"/>
              <w:widowControl w:val="off"/>
              <w:rPr>
                <w:rFonts w:hint="eastAsia" w:ascii="宋体" w:hAnsi="宋体" w:eastAsia="宋体" w:cs="Times New Roman"/>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73"/>
              <w:numPr>
                <w:ilvl w:val="0"/>
                <w:numId w:val="0"/>
              </w:numPr>
              <w:ind w:firstLine="420"/>
              <w:spacing w:line="36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自2023年1月1日以来（以合同签订时间为准）</w:t>
            </w:r>
            <w:r>
              <w:rPr>
                <w:rFonts w:hint="eastAsia" w:ascii="宋体" w:hAnsi="宋体" w:eastAsia="宋体" w:cs="宋体"/>
                <w:color w:val="000000"/>
                <w:sz w:val="21"/>
                <w:szCs w:val="21"/>
                <w:highlight w:val="none"/>
                <w:lang w:val="en-US" w:eastAsia="zh-CN" w:bidi="ar-SA"/>
              </w:rPr>
              <w:t xml:space="preserve">承担过类似</w:t>
            </w:r>
            <w:r>
              <w:rPr>
                <w:rFonts w:hint="eastAsia" w:ascii="宋体" w:hAnsi="宋体" w:cs="宋体"/>
                <w:color w:val="000000"/>
                <w:sz w:val="21"/>
                <w:szCs w:val="21"/>
                <w:highlight w:val="none"/>
                <w:lang w:val="en-US" w:eastAsia="zh-CN" w:bidi="ar-SA"/>
              </w:rPr>
              <w:t xml:space="preserve">项目</w:t>
            </w:r>
            <w:r>
              <w:rPr>
                <w:rFonts w:hint="eastAsia" w:ascii="宋体" w:hAnsi="宋体" w:eastAsia="宋体" w:cs="宋体"/>
                <w:color w:val="000000"/>
                <w:sz w:val="21"/>
                <w:szCs w:val="21"/>
                <w:highlight w:val="none"/>
                <w:lang w:val="en-US" w:eastAsia="zh-CN" w:bidi="ar-SA"/>
              </w:rPr>
              <w:t xml:space="preserve">业绩的，每提供一个得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分，满分</w:t>
            </w: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973"/>
              <w:numPr>
                <w:ilvl w:val="0"/>
                <w:numId w:val="0"/>
              </w:numPr>
              <w:spacing w:line="360" w:lineRule="exact"/>
              <w:shd w:val="clear" w:color="auto" w:fill="auto"/>
              <w:rPr>
                <w:rFonts w:hint="eastAsia" w:ascii="宋体" w:hAnsi="宋体" w:eastAsia="宋体" w:cs="Times New Roman"/>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（提供合同原件扫描上传，未提供不得分）</w:t>
            </w:r>
            <w:r>
              <w:rPr>
                <w:rFonts w:hint="eastAsia" w:ascii="宋体" w:hAnsi="宋体" w:eastAsia="宋体" w:cs="Times New Roman"/>
                <w:sz w:val="21"/>
                <w:szCs w:val="21"/>
                <w:highlight w:val="none"/>
                <w:lang w:val="en-US" w:eastAsia="zh-CN"/>
              </w:rPr>
            </w:r>
            <w:r/>
          </w:p>
        </w:tc>
      </w:tr>
    </w:tbl>
    <w:p>
      <w:pPr>
        <w:pStyle w:val="974"/>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bookmarkStart w:id="80" w:name="_Toc9788"/>
      <w:r>
        <w:rPr>
          <w:rFonts w:hint="eastAsia" w:ascii="宋体" w:hAnsi="宋体" w:cs="宋体"/>
          <w:color w:val="000000"/>
          <w:sz w:val="21"/>
          <w:szCs w:val="21"/>
          <w:highlight w:val="none"/>
        </w:rPr>
      </w:r>
      <w:r/>
    </w:p>
    <w:p>
      <w:pPr>
        <w:pStyle w:val="974"/>
        <w:jc w:val="center"/>
        <w:rPr>
          <w:rFonts w:ascii="宋体" w:hAnsi="宋体"/>
          <w:color w:val="000000"/>
          <w:highlight w:val="none"/>
        </w:rPr>
      </w:pPr>
      <w:r>
        <w:rPr>
          <w:rStyle w:val="980"/>
          <w:rFonts w:hint="eastAsia" w:ascii="Times New Roman" w:hAnsi="Times New Roman" w:eastAsia="宋体" w:cs="Times New Roman"/>
          <w:color w:val="000000"/>
          <w:sz w:val="36"/>
          <w:szCs w:val="36"/>
          <w:highlight w:val="none"/>
          <w:lang w:val="en-US" w:eastAsia="zh-CN" w:bidi="ar-SA"/>
        </w:rPr>
        <w:t xml:space="preserve">第六章 投标文件格式</w:t>
      </w:r>
      <w:bookmarkEnd w:id="80"/>
      <w:r>
        <w:rPr>
          <w:rFonts w:ascii="宋体" w:hAnsi="宋体"/>
          <w:color w:val="000000"/>
          <w:highlight w:val="none"/>
        </w:rPr>
      </w:r>
      <w:r/>
    </w:p>
    <w:p>
      <w:pPr>
        <w:pStyle w:val="973"/>
        <w:rPr>
          <w:rFonts w:ascii="黑体" w:eastAsia="黑体"/>
          <w:bCs/>
          <w:color w:val="000000"/>
          <w:sz w:val="44"/>
          <w:highlight w:val="none"/>
        </w:rPr>
      </w:pPr>
      <w:r>
        <w:rPr>
          <w:rFonts w:ascii="黑体" w:eastAsia="黑体"/>
          <w:bCs/>
          <w:color w:val="000000"/>
          <w:sz w:val="44"/>
          <w:highlight w:val="none"/>
        </w:rPr>
      </w:r>
      <w:r/>
    </w:p>
    <w:p>
      <w:pPr>
        <w:pStyle w:val="973"/>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973"/>
        <w:jc w:val="center"/>
        <w:rPr>
          <w:rFonts w:ascii="宋体" w:hAnsi="宋体"/>
          <w:b/>
          <w:color w:val="000000"/>
          <w:sz w:val="72"/>
          <w:highlight w:val="none"/>
        </w:rPr>
      </w:pPr>
      <w:r>
        <w:rPr>
          <w:rFonts w:ascii="宋体" w:hAnsi="宋体"/>
          <w:b/>
          <w:color w:val="000000"/>
          <w:sz w:val="72"/>
          <w:highlight w:val="none"/>
        </w:rPr>
      </w:r>
      <w:r/>
    </w:p>
    <w:p>
      <w:pPr>
        <w:pStyle w:val="973"/>
        <w:jc w:val="center"/>
        <w:rPr>
          <w:rFonts w:ascii="宋体" w:hAnsi="宋体"/>
          <w:b/>
          <w:color w:val="000000"/>
          <w:sz w:val="72"/>
          <w:highlight w:val="none"/>
        </w:rPr>
      </w:pPr>
      <w:r>
        <w:rPr>
          <w:rFonts w:ascii="宋体" w:hAnsi="宋体"/>
          <w:b/>
          <w:color w:val="000000"/>
          <w:sz w:val="72"/>
          <w:highlight w:val="none"/>
        </w:rPr>
      </w:r>
      <w:r/>
    </w:p>
    <w:p>
      <w:pPr>
        <w:pStyle w:val="973"/>
        <w:jc w:val="center"/>
        <w:rPr>
          <w:rFonts w:ascii="宋体" w:hAnsi="宋体"/>
          <w:b/>
          <w:color w:val="000000"/>
          <w:sz w:val="36"/>
          <w:highlight w:val="none"/>
        </w:rPr>
      </w:pPr>
      <w:r>
        <w:rPr>
          <w:rFonts w:ascii="宋体" w:hAnsi="宋体"/>
          <w:b/>
          <w:color w:val="000000"/>
          <w:sz w:val="36"/>
          <w:highlight w:val="none"/>
        </w:rPr>
      </w:r>
      <w:r/>
    </w:p>
    <w:p>
      <w:pPr>
        <w:pStyle w:val="973"/>
        <w:jc w:val="center"/>
        <w:rPr>
          <w:rFonts w:ascii="宋体" w:hAnsi="宋体"/>
          <w:b/>
          <w:color w:val="000000"/>
          <w:sz w:val="36"/>
          <w:highlight w:val="none"/>
        </w:rPr>
      </w:pPr>
      <w:r>
        <w:rPr>
          <w:rFonts w:ascii="宋体" w:hAnsi="宋体"/>
          <w:b/>
          <w:color w:val="000000"/>
          <w:sz w:val="36"/>
          <w:highlight w:val="none"/>
        </w:rPr>
      </w:r>
      <w:r/>
    </w:p>
    <w:p>
      <w:pPr>
        <w:pStyle w:val="973"/>
        <w:jc w:val="center"/>
        <w:rPr>
          <w:rFonts w:ascii="宋体" w:hAnsi="宋体"/>
          <w:b/>
          <w:color w:val="000000"/>
          <w:sz w:val="36"/>
          <w:highlight w:val="none"/>
        </w:rPr>
      </w:pPr>
      <w:r>
        <w:rPr>
          <w:rFonts w:ascii="宋体" w:hAnsi="宋体"/>
          <w:b/>
          <w:color w:val="000000"/>
          <w:sz w:val="36"/>
          <w:highlight w:val="none"/>
        </w:rPr>
      </w:r>
      <w:r/>
    </w:p>
    <w:p>
      <w:pPr>
        <w:pStyle w:val="973"/>
        <w:jc w:val="center"/>
        <w:rPr>
          <w:rFonts w:ascii="宋体" w:hAnsi="宋体"/>
          <w:b/>
          <w:color w:val="000000"/>
          <w:sz w:val="36"/>
          <w:highlight w:val="none"/>
        </w:rPr>
      </w:pPr>
      <w:r>
        <w:rPr>
          <w:rFonts w:ascii="宋体" w:hAnsi="宋体"/>
          <w:b/>
          <w:color w:val="000000"/>
          <w:sz w:val="36"/>
          <w:highlight w:val="none"/>
        </w:rPr>
      </w:r>
      <w:r/>
    </w:p>
    <w:p>
      <w:pPr>
        <w:pStyle w:val="973"/>
        <w:rPr>
          <w:rFonts w:ascii="宋体" w:hAnsi="宋体"/>
          <w:b/>
          <w:color w:val="000000"/>
          <w:sz w:val="36"/>
          <w:highlight w:val="none"/>
        </w:rPr>
      </w:pPr>
      <w:r>
        <w:rPr>
          <w:rFonts w:ascii="宋体" w:hAnsi="宋体"/>
          <w:b/>
          <w:color w:val="000000"/>
          <w:sz w:val="36"/>
          <w:highlight w:val="none"/>
        </w:rPr>
      </w:r>
      <w:r/>
    </w:p>
    <w:p>
      <w:pPr>
        <w:pStyle w:val="973"/>
        <w:jc w:val="center"/>
        <w:rPr>
          <w:rFonts w:ascii="宋体" w:hAnsi="宋体"/>
          <w:b/>
          <w:color w:val="000000"/>
          <w:sz w:val="36"/>
          <w:highlight w:val="none"/>
        </w:rPr>
      </w:pPr>
      <w:r>
        <w:rPr>
          <w:rFonts w:ascii="宋体" w:hAnsi="宋体"/>
          <w:b/>
          <w:color w:val="000000"/>
          <w:sz w:val="36"/>
          <w:highlight w:val="none"/>
        </w:rPr>
      </w:r>
      <w:r/>
    </w:p>
    <w:p>
      <w:pPr>
        <w:pStyle w:val="973"/>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73"/>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73"/>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73"/>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73"/>
        <w:jc w:val="center"/>
        <w:spacing w:line="440" w:lineRule="exact"/>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97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73"/>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一、</w:t>
      </w:r>
      <w:r>
        <w:rPr>
          <w:rFonts w:hint="eastAsia" w:ascii="宋体" w:hAnsi="宋体" w:cs="宋体"/>
          <w:i/>
          <w:iCs/>
          <w:color w:val="000000"/>
          <w:sz w:val="24"/>
          <w:szCs w:val="24"/>
          <w:highlight w:val="none"/>
          <w:u w:val="single"/>
        </w:rPr>
        <w:t xml:space="preserve">法人或者其他组织的营业执照等证明文件，自然人的身份证明</w:t>
      </w:r>
      <w:r>
        <w:rPr>
          <w:rFonts w:hint="eastAsia" w:ascii="宋体" w:hAnsi="宋体" w:cs="宋体"/>
          <w:i/>
          <w:iCs/>
          <w:color w:val="000000"/>
          <w:sz w:val="24"/>
          <w:szCs w:val="24"/>
          <w:highlight w:val="none"/>
          <w:u w:val="single"/>
        </w:rPr>
      </w:r>
      <w:r/>
    </w:p>
    <w:p>
      <w:pPr>
        <w:pStyle w:val="973"/>
        <w:ind w:firstLine="480"/>
        <w:spacing w:line="360" w:lineRule="auto"/>
        <w:rPr>
          <w:rFonts w:hint="eastAsia" w:ascii="宋体" w:hAnsi="宋体" w:cs="宋体"/>
          <w:b/>
          <w:bCs/>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二、</w:t>
      </w:r>
      <w:r>
        <w:rPr>
          <w:rFonts w:hint="eastAsia" w:ascii="宋体" w:hAnsi="宋体" w:cs="宋体"/>
          <w:i/>
          <w:iCs/>
          <w:color w:val="000000"/>
          <w:sz w:val="24"/>
          <w:szCs w:val="24"/>
          <w:highlight w:val="none"/>
          <w:u w:val="single"/>
        </w:rPr>
        <w:t xml:space="preserve"> 依法缴纳税收和社会保障资金的相关材料</w:t>
      </w:r>
      <w:r>
        <w:rPr>
          <w:rFonts w:hint="eastAsia" w:ascii="宋体" w:hAnsi="宋体" w:cs="宋体"/>
          <w:b/>
          <w:bCs/>
          <w:i/>
          <w:iCs/>
          <w:color w:val="000000"/>
          <w:sz w:val="24"/>
          <w:szCs w:val="24"/>
          <w:highlight w:val="none"/>
          <w:u w:val="single"/>
        </w:rPr>
        <w:t xml:space="preserve">（提供提交投标文件截止时间前</w:t>
      </w:r>
      <w:r>
        <w:rPr>
          <w:rFonts w:hint="eastAsia" w:ascii="宋体" w:hAnsi="宋体" w:cs="宋体"/>
          <w:b/>
          <w:bCs/>
          <w:i/>
          <w:iCs/>
          <w:color w:val="000000"/>
          <w:sz w:val="24"/>
          <w:szCs w:val="24"/>
          <w:highlight w:val="none"/>
          <w:u w:val="single"/>
          <w:lang w:val="en-US" w:eastAsia="zh-CN"/>
        </w:rPr>
        <w:t xml:space="preserve">三个月</w:t>
      </w:r>
      <w:r>
        <w:rPr>
          <w:rFonts w:hint="eastAsia" w:ascii="宋体" w:hAnsi="宋体" w:cs="宋体"/>
          <w:b/>
          <w:bCs/>
          <w:i/>
          <w:iCs/>
          <w:color w:val="000000"/>
          <w:sz w:val="24"/>
          <w:szCs w:val="24"/>
          <w:highlight w:val="none"/>
          <w:u w:val="single"/>
        </w:rPr>
        <w:t xml:space="preserve">内任意一个月依法缴纳税收及缴纳社会保障资金的证明材料。投标人依法享受缓缴、免缴税收、社会保障资金的提供证明材料。）</w:t>
      </w:r>
      <w:r>
        <w:rPr>
          <w:rFonts w:hint="eastAsia" w:ascii="宋体" w:hAnsi="宋体" w:cs="宋体"/>
          <w:b/>
          <w:bCs/>
          <w:i/>
          <w:iCs/>
          <w:color w:val="000000"/>
          <w:sz w:val="24"/>
          <w:szCs w:val="24"/>
          <w:highlight w:val="none"/>
          <w:u w:val="single"/>
        </w:rPr>
      </w:r>
      <w:r/>
    </w:p>
    <w:p>
      <w:pPr>
        <w:pStyle w:val="973"/>
        <w:ind w:firstLine="480"/>
        <w:spacing w:line="360" w:lineRule="auto"/>
        <w:rPr>
          <w:rFonts w:hint="eastAsia" w:ascii="宋体" w:hAnsi="宋体" w:cs="宋体"/>
          <w:b/>
          <w:bCs/>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三、</w:t>
      </w:r>
      <w:r>
        <w:rPr>
          <w:rFonts w:hint="eastAsia" w:ascii="宋体" w:hAnsi="宋体" w:cs="宋体"/>
          <w:i/>
          <w:iCs/>
          <w:color w:val="000000"/>
          <w:sz w:val="24"/>
          <w:szCs w:val="24"/>
          <w:highlight w:val="none"/>
          <w:u w:val="single"/>
        </w:rPr>
        <w:t xml:space="preserve"> 上一年度的财务报告情况</w:t>
      </w:r>
      <w:r>
        <w:rPr>
          <w:rFonts w:hint="eastAsia" w:ascii="宋体" w:hAnsi="宋体" w:cs="宋体"/>
          <w:b/>
          <w:bCs/>
          <w:i/>
          <w:iCs/>
          <w:color w:val="000000"/>
          <w:sz w:val="24"/>
          <w:szCs w:val="24"/>
          <w:highlight w:val="none"/>
          <w:u w:val="single"/>
        </w:rPr>
        <w:t xml:space="preserve">（成立不满一年不需提供）</w:t>
      </w:r>
      <w:r>
        <w:rPr>
          <w:rFonts w:hint="eastAsia" w:ascii="宋体" w:hAnsi="宋体" w:cs="宋体"/>
          <w:b/>
          <w:bCs/>
          <w:i/>
          <w:iCs/>
          <w:color w:val="000000"/>
          <w:sz w:val="24"/>
          <w:szCs w:val="24"/>
          <w:highlight w:val="none"/>
          <w:u w:val="single"/>
        </w:rPr>
      </w:r>
      <w:r/>
    </w:p>
    <w:p>
      <w:pPr>
        <w:pStyle w:val="973"/>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四、</w:t>
      </w:r>
      <w:r>
        <w:rPr>
          <w:rFonts w:hint="eastAsia" w:ascii="宋体" w:hAnsi="宋体" w:cs="宋体"/>
          <w:i/>
          <w:iCs/>
          <w:color w:val="000000"/>
          <w:sz w:val="24"/>
          <w:szCs w:val="24"/>
          <w:highlight w:val="none"/>
          <w:u w:val="single"/>
        </w:rPr>
        <w:t xml:space="preserve"> 具备履行合同所必需的设备和专业技术能力的书面声明</w:t>
      </w:r>
      <w:r>
        <w:rPr>
          <w:rFonts w:hint="eastAsia" w:ascii="宋体" w:hAnsi="宋体" w:cs="宋体"/>
          <w:i/>
          <w:iCs/>
          <w:color w:val="000000"/>
          <w:sz w:val="24"/>
          <w:szCs w:val="24"/>
          <w:highlight w:val="none"/>
          <w:u w:val="single"/>
        </w:rPr>
      </w:r>
      <w:r/>
    </w:p>
    <w:p>
      <w:pPr>
        <w:pStyle w:val="973"/>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五、</w:t>
      </w:r>
      <w:r>
        <w:rPr>
          <w:rFonts w:hint="eastAsia" w:ascii="宋体" w:hAnsi="宋体" w:cs="宋体"/>
          <w:i/>
          <w:iCs/>
          <w:color w:val="000000"/>
          <w:sz w:val="24"/>
          <w:szCs w:val="24"/>
          <w:highlight w:val="none"/>
          <w:u w:val="single"/>
        </w:rPr>
        <w:t xml:space="preserve"> 参加本次政府采购活动前3年内在经营活动中没有重大违法记录的书面声明</w:t>
      </w:r>
      <w:r>
        <w:rPr>
          <w:rFonts w:hint="eastAsia" w:ascii="宋体" w:hAnsi="宋体" w:cs="宋体"/>
          <w:i/>
          <w:iCs/>
          <w:color w:val="000000"/>
          <w:sz w:val="24"/>
          <w:szCs w:val="24"/>
          <w:highlight w:val="none"/>
          <w:u w:val="single"/>
        </w:rPr>
      </w:r>
      <w:r/>
    </w:p>
    <w:p>
      <w:pPr>
        <w:pStyle w:val="973"/>
        <w:ind w:left="0"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六、未被“信用中国”网站（www.creditchina.gov.cn）、“中国政府采购网"(www.ccgp.gov.cn)列入失信被执行人、重大税收违法案件当事人名单、政府采购严重违法失信行为记录名单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000000"/>
          <w:sz w:val="24"/>
          <w:szCs w:val="24"/>
          <w:highlight w:val="none"/>
          <w:u w:val="single"/>
          <w:lang w:val="en-US" w:eastAsia="zh-CN"/>
        </w:rPr>
        <w:t xml:space="preserve">（提供网页截图）</w:t>
      </w:r>
      <w:r>
        <w:rPr>
          <w:rFonts w:hint="eastAsia" w:ascii="宋体" w:hAnsi="宋体" w:eastAsia="宋体" w:cs="宋体"/>
          <w:i/>
          <w:iCs/>
          <w:color w:val="000000"/>
          <w:sz w:val="24"/>
          <w:szCs w:val="24"/>
          <w:highlight w:val="none"/>
          <w:u w:val="single"/>
          <w:lang w:val="en-US" w:eastAsia="zh-CN"/>
        </w:rPr>
      </w:r>
      <w:r/>
    </w:p>
    <w:p>
      <w:pPr>
        <w:pStyle w:val="973"/>
        <w:ind w:left="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供应商信用承诺函</w:t>
      </w:r>
      <w:r>
        <w:rPr>
          <w:rFonts w:hint="eastAsia" w:ascii="宋体" w:hAnsi="宋体" w:eastAsia="宋体" w:cs="宋体"/>
          <w:i/>
          <w:iCs/>
          <w:color w:val="000000"/>
          <w:sz w:val="24"/>
          <w:szCs w:val="24"/>
          <w:highlight w:val="none"/>
          <w:u w:val="single"/>
        </w:rPr>
      </w:r>
      <w:r/>
    </w:p>
    <w:p>
      <w:pPr>
        <w:pStyle w:val="973"/>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八</w:t>
      </w:r>
      <w:r>
        <w:rPr>
          <w:rFonts w:hint="eastAsia" w:ascii="宋体" w:hAnsi="宋体"/>
          <w:i/>
          <w:color w:val="000000"/>
          <w:sz w:val="24"/>
          <w:szCs w:val="24"/>
          <w:highlight w:val="none"/>
          <w:u w:val="single"/>
        </w:rPr>
        <w:t xml:space="preserve">、特定资格要求的证明文件（如果本项目设置特定资格要求，则需要提供）</w:t>
      </w:r>
      <w:r>
        <w:rPr>
          <w:rFonts w:ascii="宋体" w:hAnsi="宋体"/>
          <w:i/>
          <w:color w:val="000000"/>
          <w:sz w:val="24"/>
          <w:szCs w:val="24"/>
          <w:highlight w:val="none"/>
          <w:u w:val="single"/>
        </w:rPr>
      </w:r>
      <w:r/>
    </w:p>
    <w:p>
      <w:pPr>
        <w:pStyle w:val="973"/>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九</w:t>
      </w:r>
      <w:r>
        <w:rPr>
          <w:rFonts w:hint="eastAsia" w:ascii="宋体" w:hAnsi="宋体"/>
          <w:i/>
          <w:color w:val="000000"/>
          <w:sz w:val="24"/>
          <w:szCs w:val="24"/>
          <w:highlight w:val="none"/>
          <w:u w:val="single"/>
        </w:rPr>
        <w:t xml:space="preserve">、法人授权书</w:t>
      </w:r>
      <w:r>
        <w:rPr>
          <w:rFonts w:ascii="宋体" w:hAnsi="宋体"/>
          <w:i/>
          <w:color w:val="000000"/>
          <w:sz w:val="24"/>
          <w:szCs w:val="24"/>
          <w:highlight w:val="none"/>
          <w:u w:val="single"/>
        </w:rPr>
      </w:r>
      <w:r/>
    </w:p>
    <w:p>
      <w:pPr>
        <w:pStyle w:val="973"/>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十</w:t>
      </w:r>
      <w:r>
        <w:rPr>
          <w:rFonts w:hint="eastAsia" w:ascii="宋体" w:hAnsi="宋体"/>
          <w:i/>
          <w:color w:val="000000"/>
          <w:sz w:val="24"/>
          <w:szCs w:val="24"/>
          <w:highlight w:val="none"/>
          <w:u w:val="single"/>
        </w:rPr>
        <w:t xml:space="preserve">、投标函</w:t>
      </w:r>
      <w:r>
        <w:rPr>
          <w:rFonts w:ascii="宋体" w:hAnsi="宋体"/>
          <w:i/>
          <w:color w:val="000000"/>
          <w:sz w:val="24"/>
          <w:szCs w:val="24"/>
          <w:highlight w:val="none"/>
          <w:u w:val="single"/>
        </w:rPr>
      </w:r>
      <w:r/>
    </w:p>
    <w:p>
      <w:pPr>
        <w:pStyle w:val="973"/>
        <w:ind w:firstLine="480"/>
        <w:keepLines w:val="0"/>
        <w:keepNext w:val="0"/>
        <w:pageBreakBefore w:val="0"/>
        <w:spacing w:line="360" w:lineRule="auto"/>
        <w:widowControl w:val="off"/>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十</w:t>
      </w:r>
      <w:r>
        <w:rPr>
          <w:rFonts w:hint="eastAsia" w:ascii="宋体" w:hAnsi="宋体"/>
          <w:color w:val="000000"/>
          <w:sz w:val="24"/>
          <w:szCs w:val="24"/>
          <w:highlight w:val="none"/>
          <w:u w:val="none"/>
          <w:lang w:val="en-US" w:eastAsia="zh-CN"/>
        </w:rPr>
        <w:t xml:space="preserve">一</w:t>
      </w:r>
      <w:r>
        <w:rPr>
          <w:rFonts w:hint="eastAsia" w:ascii="宋体" w:hAnsi="宋体"/>
          <w:color w:val="000000"/>
          <w:sz w:val="24"/>
          <w:szCs w:val="24"/>
          <w:highlight w:val="none"/>
          <w:u w:val="none"/>
        </w:rPr>
        <w:t xml:space="preserve">、企业报价折扣证明（</w:t>
      </w:r>
      <w:r>
        <w:rPr>
          <w:rFonts w:hint="eastAsia" w:ascii="宋体" w:hAnsi="宋体"/>
          <w:i w:val="0"/>
          <w:iCs w:val="0"/>
          <w:color w:val="000000"/>
          <w:sz w:val="24"/>
          <w:szCs w:val="24"/>
          <w:highlight w:val="none"/>
          <w:u w:val="none"/>
        </w:rPr>
        <w:t xml:space="preserve">中小企业声明函、</w:t>
      </w:r>
      <w:r>
        <w:rPr>
          <w:rFonts w:hint="eastAsia" w:ascii="宋体" w:hAnsi="宋体"/>
          <w:color w:val="000000"/>
          <w:sz w:val="24"/>
          <w:szCs w:val="24"/>
          <w:highlight w:val="none"/>
          <w:u w:val="none"/>
        </w:rPr>
        <w:t xml:space="preserve">残疾人福利性单位声明函）</w:t>
      </w:r>
      <w:r>
        <w:rPr>
          <w:rFonts w:ascii="宋体" w:hAnsi="宋体"/>
          <w:color w:val="000000"/>
          <w:sz w:val="24"/>
          <w:szCs w:val="24"/>
          <w:highlight w:val="none"/>
          <w:u w:val="none"/>
        </w:rPr>
      </w:r>
      <w:r/>
    </w:p>
    <w:p>
      <w:pPr>
        <w:pStyle w:val="973"/>
        <w:ind w:firstLine="480"/>
        <w:keepLines w:val="0"/>
        <w:keepNext w:val="0"/>
        <w:pageBreakBefore w:val="0"/>
        <w:spacing w:line="360" w:lineRule="auto"/>
        <w:widowControl w:val="off"/>
        <w:rPr>
          <w:rFonts w:hint="eastAsia" w:ascii="宋体" w:hAnsi="宋体" w:eastAsia="宋体"/>
          <w:sz w:val="24"/>
          <w:szCs w:val="24"/>
          <w:highlight w:val="none"/>
          <w:u w:val="none"/>
          <w:lang w:eastAsia="zh-CN"/>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二</w:t>
      </w:r>
      <w:r>
        <w:rPr>
          <w:rFonts w:hint="eastAsia" w:ascii="宋体" w:hAnsi="宋体"/>
          <w:sz w:val="24"/>
          <w:szCs w:val="24"/>
          <w:highlight w:val="none"/>
          <w:u w:val="none"/>
        </w:rPr>
        <w:t xml:space="preserve">、联合体协议</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如有</w:t>
      </w:r>
      <w:r>
        <w:rPr>
          <w:rFonts w:hint="eastAsia" w:ascii="宋体" w:hAnsi="宋体"/>
          <w:sz w:val="24"/>
          <w:szCs w:val="24"/>
          <w:highlight w:val="none"/>
          <w:u w:val="none"/>
          <w:lang w:eastAsia="zh-CN"/>
        </w:rPr>
        <w:t xml:space="preserve">）</w:t>
      </w:r>
      <w:r>
        <w:rPr>
          <w:rFonts w:hint="eastAsia" w:ascii="宋体" w:hAnsi="宋体" w:eastAsia="宋体"/>
          <w:sz w:val="24"/>
          <w:szCs w:val="24"/>
          <w:highlight w:val="none"/>
          <w:u w:val="none"/>
          <w:lang w:eastAsia="zh-CN"/>
        </w:rPr>
      </w:r>
      <w:r/>
    </w:p>
    <w:p>
      <w:pPr>
        <w:pStyle w:val="973"/>
        <w:ind w:firstLine="480"/>
        <w:keepLines w:val="0"/>
        <w:keepNext w:val="0"/>
        <w:pageBreakBefore w:val="0"/>
        <w:spacing w:line="360" w:lineRule="auto"/>
        <w:widowControl w:val="off"/>
        <w:rPr>
          <w:rFonts w:hint="eastAsia" w:ascii="宋体" w:hAnsi="宋体"/>
          <w:i w:val="0"/>
          <w:iCs/>
          <w:sz w:val="24"/>
          <w:szCs w:val="24"/>
          <w:highlight w:val="none"/>
          <w:u w:val="none"/>
        </w:rPr>
      </w:pPr>
      <w:r>
        <w:rPr>
          <w:rFonts w:hint="eastAsia" w:ascii="宋体" w:hAnsi="宋体"/>
          <w:i w:val="0"/>
          <w:iCs/>
          <w:sz w:val="24"/>
          <w:szCs w:val="24"/>
          <w:highlight w:val="none"/>
          <w:u w:val="none"/>
          <w:lang w:val="en-US" w:eastAsia="zh-CN"/>
        </w:rPr>
        <w:t xml:space="preserve">十三、</w:t>
      </w:r>
      <w:r>
        <w:rPr>
          <w:rFonts w:hint="eastAsia" w:ascii="宋体" w:hAnsi="宋体"/>
          <w:i w:val="0"/>
          <w:iCs/>
          <w:sz w:val="24"/>
          <w:szCs w:val="24"/>
          <w:highlight w:val="none"/>
          <w:u w:val="none"/>
        </w:rPr>
        <w:t xml:space="preserve">符合性审查响应对照表</w:t>
      </w:r>
      <w:r>
        <w:rPr>
          <w:rFonts w:hint="eastAsia" w:ascii="宋体" w:hAnsi="宋体"/>
          <w:i w:val="0"/>
          <w:iCs/>
          <w:sz w:val="24"/>
          <w:szCs w:val="24"/>
          <w:highlight w:val="none"/>
          <w:u w:val="none"/>
        </w:rPr>
      </w:r>
      <w:r/>
    </w:p>
    <w:p>
      <w:pPr>
        <w:pStyle w:val="973"/>
        <w:ind w:firstLine="480"/>
        <w:keepLines w:val="0"/>
        <w:keepNext w:val="0"/>
        <w:pageBreakBefore w:val="0"/>
        <w:spacing w:line="360" w:lineRule="auto"/>
        <w:widowControl w:val="off"/>
        <w:rPr>
          <w:rFonts w:ascii="宋体" w:hAnsi="宋体"/>
          <w:color w:val="0000ff"/>
          <w:sz w:val="24"/>
          <w:szCs w:val="24"/>
          <w:highlight w:val="none"/>
          <w:u w:val="none"/>
        </w:rPr>
      </w:pPr>
      <w:r>
        <w:rPr>
          <w:rFonts w:hint="eastAsia" w:ascii="宋体" w:hAnsi="宋体"/>
          <w:i w:val="0"/>
          <w:iCs/>
          <w:sz w:val="24"/>
          <w:szCs w:val="24"/>
          <w:highlight w:val="none"/>
          <w:u w:val="none"/>
          <w:lang w:val="en-US" w:eastAsia="zh-CN"/>
        </w:rPr>
        <w:t xml:space="preserve">十四、</w:t>
      </w:r>
      <w:r>
        <w:rPr>
          <w:rFonts w:hint="eastAsia" w:ascii="宋体" w:hAnsi="宋体"/>
          <w:i w:val="0"/>
          <w:iCs/>
          <w:sz w:val="24"/>
          <w:szCs w:val="24"/>
          <w:highlight w:val="none"/>
          <w:u w:val="none"/>
        </w:rPr>
        <w:t xml:space="preserve">投标分项报价表 </w:t>
      </w:r>
      <w:r>
        <w:rPr>
          <w:rFonts w:hint="eastAsia" w:ascii="宋体" w:hAnsi="宋体"/>
          <w:sz w:val="24"/>
          <w:szCs w:val="24"/>
          <w:highlight w:val="none"/>
          <w:u w:val="none"/>
        </w:rPr>
        <w:t xml:space="preserve">  </w:t>
      </w:r>
      <w:r>
        <w:rPr>
          <w:rFonts w:ascii="宋体" w:hAnsi="宋体"/>
          <w:color w:val="0000ff"/>
          <w:sz w:val="24"/>
          <w:szCs w:val="24"/>
          <w:highlight w:val="none"/>
          <w:u w:val="none"/>
        </w:rPr>
      </w:r>
      <w:r/>
    </w:p>
    <w:p>
      <w:pPr>
        <w:pStyle w:val="973"/>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五</w:t>
      </w:r>
      <w:r>
        <w:rPr>
          <w:rFonts w:hint="eastAsia" w:ascii="宋体" w:hAnsi="宋体"/>
          <w:sz w:val="24"/>
          <w:szCs w:val="24"/>
          <w:highlight w:val="none"/>
          <w:u w:val="none"/>
        </w:rPr>
        <w:t xml:space="preserve">、技术要求响应及偏离表</w:t>
      </w:r>
      <w:r>
        <w:rPr>
          <w:rFonts w:ascii="宋体" w:hAnsi="宋体"/>
          <w:sz w:val="24"/>
          <w:szCs w:val="24"/>
          <w:highlight w:val="none"/>
          <w:u w:val="none"/>
        </w:rPr>
      </w:r>
      <w:r/>
    </w:p>
    <w:p>
      <w:pPr>
        <w:pStyle w:val="973"/>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六</w:t>
      </w:r>
      <w:r>
        <w:rPr>
          <w:rFonts w:hint="eastAsia" w:ascii="宋体" w:hAnsi="宋体"/>
          <w:sz w:val="24"/>
          <w:szCs w:val="24"/>
          <w:highlight w:val="none"/>
          <w:u w:val="none"/>
        </w:rPr>
        <w:t xml:space="preserve">、商务要求响应及偏离表</w:t>
      </w:r>
      <w:r>
        <w:rPr>
          <w:rFonts w:ascii="宋体" w:hAnsi="宋体"/>
          <w:sz w:val="24"/>
          <w:szCs w:val="24"/>
          <w:highlight w:val="none"/>
          <w:u w:val="none"/>
        </w:rPr>
      </w:r>
      <w:r/>
    </w:p>
    <w:p>
      <w:pPr>
        <w:pStyle w:val="973"/>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rPr>
        <w:t xml:space="preserve">十</w:t>
      </w:r>
      <w:r>
        <w:rPr>
          <w:rFonts w:hint="eastAsia" w:ascii="宋体" w:hAnsi="宋体"/>
          <w:i/>
          <w:color w:val="000000"/>
          <w:sz w:val="24"/>
          <w:szCs w:val="24"/>
          <w:highlight w:val="none"/>
          <w:u w:val="single"/>
          <w:lang w:val="en-US" w:eastAsia="zh-CN"/>
        </w:rPr>
        <w:t xml:space="preserve">七</w:t>
      </w:r>
      <w:r>
        <w:rPr>
          <w:rFonts w:hint="eastAsia" w:ascii="宋体" w:hAnsi="宋体"/>
          <w:i/>
          <w:color w:val="000000"/>
          <w:sz w:val="24"/>
          <w:szCs w:val="24"/>
          <w:highlight w:val="none"/>
          <w:u w:val="single"/>
        </w:rPr>
        <w:t xml:space="preserve">、开标一览表</w:t>
      </w:r>
      <w:r>
        <w:rPr>
          <w:rFonts w:ascii="宋体" w:hAnsi="宋体"/>
          <w:i/>
          <w:color w:val="000000"/>
          <w:sz w:val="24"/>
          <w:szCs w:val="24"/>
          <w:highlight w:val="none"/>
          <w:u w:val="single"/>
        </w:rPr>
      </w:r>
      <w:r/>
    </w:p>
    <w:p>
      <w:pPr>
        <w:pStyle w:val="973"/>
        <w:ind w:firstLine="480"/>
        <w:keepLines w:val="0"/>
        <w:keepNext w:val="0"/>
        <w:pageBreakBefore w:val="0"/>
        <w:spacing w:line="360" w:lineRule="auto"/>
        <w:widowControl w:val="off"/>
        <w:rPr>
          <w:rFonts w:hint="eastAsia" w:ascii="宋体" w:hAnsi="宋体"/>
          <w:iCs/>
          <w:color w:val="000000"/>
          <w:sz w:val="24"/>
          <w:szCs w:val="24"/>
          <w:highlight w:val="none"/>
          <w:u w:val="none"/>
        </w:rPr>
      </w:pPr>
      <w:r>
        <w:rPr>
          <w:rFonts w:hint="eastAsia" w:ascii="宋体" w:hAnsi="宋体"/>
          <w:iCs/>
          <w:color w:val="000000"/>
          <w:sz w:val="24"/>
          <w:szCs w:val="24"/>
          <w:highlight w:val="none"/>
          <w:u w:val="none"/>
        </w:rPr>
        <w:t xml:space="preserve">十</w:t>
      </w:r>
      <w:r>
        <w:rPr>
          <w:rFonts w:hint="eastAsia" w:ascii="宋体" w:hAnsi="宋体"/>
          <w:iCs/>
          <w:color w:val="000000"/>
          <w:sz w:val="24"/>
          <w:szCs w:val="24"/>
          <w:highlight w:val="none"/>
          <w:u w:val="none"/>
          <w:lang w:val="en-US" w:eastAsia="zh-CN"/>
        </w:rPr>
        <w:t xml:space="preserve">八</w:t>
      </w:r>
      <w:r>
        <w:rPr>
          <w:rFonts w:hint="eastAsia" w:ascii="宋体" w:hAnsi="宋体"/>
          <w:iCs/>
          <w:color w:val="000000"/>
          <w:sz w:val="24"/>
          <w:szCs w:val="24"/>
          <w:highlight w:val="none"/>
          <w:u w:val="none"/>
        </w:rPr>
        <w:t xml:space="preserve">、主要标的信息</w:t>
      </w:r>
      <w:r>
        <w:rPr>
          <w:rFonts w:hint="eastAsia" w:ascii="宋体" w:hAnsi="宋体" w:eastAsia="宋体" w:cs="Times New Roman"/>
          <w:iCs/>
          <w:color w:val="000000"/>
          <w:sz w:val="24"/>
          <w:szCs w:val="24"/>
          <w:highlight w:val="none"/>
          <w:u w:val="none"/>
        </w:rPr>
        <w:t xml:space="preserve">（中标后将公示）</w:t>
      </w:r>
      <w:r>
        <w:rPr>
          <w:rFonts w:hint="eastAsia" w:ascii="宋体" w:hAnsi="宋体"/>
          <w:iCs/>
          <w:color w:val="000000"/>
          <w:sz w:val="24"/>
          <w:szCs w:val="24"/>
          <w:highlight w:val="none"/>
          <w:u w:val="none"/>
        </w:rPr>
      </w:r>
      <w:r/>
    </w:p>
    <w:p>
      <w:pPr>
        <w:pStyle w:val="973"/>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十九、</w:t>
      </w:r>
      <w:r>
        <w:rPr>
          <w:rFonts w:hint="eastAsia" w:ascii="宋体" w:hAnsi="宋体"/>
          <w:color w:val="000000"/>
          <w:sz w:val="24"/>
          <w:highlight w:val="none"/>
        </w:rPr>
        <w:t xml:space="preserve">其他 （投标人认为有必要提供的声明和文件，如有自拟并自行添加）</w:t>
      </w:r>
      <w:r>
        <w:rPr>
          <w:rFonts w:hint="eastAsia" w:ascii="宋体" w:hAnsi="宋体"/>
          <w:color w:val="000000"/>
          <w:sz w:val="24"/>
          <w:highlight w:val="none"/>
        </w:rPr>
      </w:r>
      <w:r/>
    </w:p>
    <w:p>
      <w:pPr>
        <w:pStyle w:val="973"/>
        <w:numPr>
          <w:ilvl w:val="0"/>
          <w:numId w:val="0"/>
        </w:numPr>
        <w:jc w:val="left"/>
        <w:keepLines/>
        <w:keepNext/>
        <w:pageBreakBefore w:val="0"/>
        <w:spacing w:after="480" w:line="360" w:lineRule="auto"/>
        <w:widowControl w:val="off"/>
        <w:rPr>
          <w:rFonts w:hint="eastAsia" w:ascii="宋体" w:hAnsi="宋体" w:cs="宋体"/>
          <w:b/>
          <w:bCs/>
          <w:i/>
          <w:sz w:val="24"/>
          <w:szCs w:val="24"/>
          <w:highlight w:val="none"/>
          <w:u w:val="single"/>
        </w:rPr>
        <w:outlineLvl w:val="1"/>
      </w:pPr>
      <w:r>
        <w:rPr>
          <w:rFonts w:hint="eastAsia" w:ascii="宋体" w:hAnsi="宋体"/>
          <w:b/>
          <w:bCs/>
          <w:color w:val="000000"/>
          <w:highlight w:val="none"/>
        </w:rPr>
        <w:br w:type="page" w:clear="all"/>
      </w:r>
      <w:r>
        <w:rPr>
          <w:rFonts w:hint="eastAsia" w:ascii="宋体" w:hAnsi="宋体"/>
          <w:b/>
          <w:bCs/>
          <w:i/>
          <w:iCs/>
          <w:color w:val="000000"/>
          <w:sz w:val="24"/>
          <w:szCs w:val="28"/>
          <w:highlight w:val="none"/>
          <w:u w:val="single"/>
          <w:lang w:val="en-US" w:eastAsia="zh-CN"/>
        </w:rPr>
        <w:t xml:space="preserve">一、</w:t>
      </w:r>
      <w:r>
        <w:rPr>
          <w:rFonts w:hint="eastAsia" w:ascii="宋体" w:hAnsi="宋体" w:cs="宋体"/>
          <w:b/>
          <w:bCs/>
          <w:i/>
          <w:iCs/>
          <w:sz w:val="24"/>
          <w:szCs w:val="24"/>
          <w:highlight w:val="none"/>
          <w:u w:val="single"/>
        </w:rPr>
        <w:t xml:space="preserve">法人</w:t>
      </w:r>
      <w:r>
        <w:rPr>
          <w:rFonts w:hint="eastAsia" w:ascii="宋体" w:hAnsi="宋体" w:cs="宋体"/>
          <w:b/>
          <w:bCs/>
          <w:i/>
          <w:sz w:val="24"/>
          <w:szCs w:val="24"/>
          <w:highlight w:val="none"/>
          <w:u w:val="single"/>
        </w:rPr>
        <w:t xml:space="preserve">或者其他组织的营业执照等证明文件，自然人的身份证明</w:t>
      </w:r>
      <w:r>
        <w:rPr>
          <w:rFonts w:hint="eastAsia" w:ascii="宋体" w:hAnsi="宋体" w:cs="宋体"/>
          <w:b/>
          <w:bCs/>
          <w:i/>
          <w:sz w:val="24"/>
          <w:szCs w:val="24"/>
          <w:highlight w:val="none"/>
          <w:u w:val="single"/>
        </w:rPr>
      </w:r>
      <w:r/>
    </w:p>
    <w:p>
      <w:pPr>
        <w:pStyle w:val="974"/>
        <w:keepLines/>
        <w:keepNext/>
        <w:pageBreakBefore w:val="0"/>
        <w:spacing w:before="0" w:after="0" w:line="360" w:lineRule="auto"/>
        <w:widowControl w:val="off"/>
        <w:rPr>
          <w:sz w:val="32"/>
          <w:szCs w:val="32"/>
          <w:highlight w:val="none"/>
        </w:rPr>
      </w:pPr>
      <w:r>
        <w:rPr>
          <w:sz w:val="32"/>
          <w:szCs w:val="32"/>
          <w:highlight w:val="none"/>
        </w:rPr>
      </w:r>
      <w:r/>
    </w:p>
    <w:p>
      <w:pPr>
        <w:pStyle w:val="973"/>
        <w:jc w:val="left"/>
        <w:keepLines/>
        <w:keepNext/>
        <w:spacing w:before="260" w:line="415" w:lineRule="auto"/>
        <w:rPr>
          <w:rFonts w:hint="eastAsia" w:ascii="宋体" w:hAnsi="宋体" w:cs="宋体"/>
          <w:b/>
          <w:bCs/>
          <w:i/>
          <w:sz w:val="24"/>
          <w:szCs w:val="24"/>
          <w:highlight w:val="none"/>
          <w:u w:val="single"/>
        </w:rPr>
        <w:outlineLvl w:val="1"/>
      </w:pPr>
      <w:r/>
      <w:bookmarkStart w:id="81" w:name="OLE_LINK1"/>
      <w:r/>
      <w:bookmarkStart w:id="82" w:name="OLE_LINK2"/>
      <w:r>
        <w:rPr>
          <w:rFonts w:hint="eastAsia" w:ascii="宋体" w:hAnsi="宋体" w:cs="宋体"/>
          <w:b/>
          <w:bCs/>
          <w:i/>
          <w:sz w:val="24"/>
          <w:szCs w:val="24"/>
          <w:highlight w:val="none"/>
          <w:u w:val="single"/>
        </w:rPr>
        <w:t xml:space="preserve">二、依法缴纳税收和社会保障资金的相关材料</w:t>
      </w:r>
      <w:r>
        <w:rPr>
          <w:rFonts w:hint="eastAsia" w:ascii="宋体" w:hAnsi="宋体" w:cs="宋体"/>
          <w:b/>
          <w:bCs/>
          <w:i/>
          <w:sz w:val="24"/>
          <w:szCs w:val="24"/>
          <w:highlight w:val="none"/>
          <w:u w:val="single"/>
        </w:rPr>
      </w:r>
      <w:r/>
    </w:p>
    <w:p>
      <w:pPr>
        <w:pStyle w:val="973"/>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4"/>
          <w:highlight w:val="none"/>
        </w:rPr>
        <w:t xml:space="preserve">提供提交投标文件截止时间前</w:t>
      </w:r>
      <w:r>
        <w:rPr>
          <w:rFonts w:hint="eastAsia" w:ascii="宋体" w:hAnsi="宋体"/>
          <w:bCs/>
          <w:sz w:val="24"/>
          <w:szCs w:val="24"/>
          <w:highlight w:val="none"/>
          <w:lang w:val="en-US" w:eastAsia="zh-CN"/>
        </w:rPr>
        <w:t xml:space="preserve">三个月</w:t>
      </w:r>
      <w:r>
        <w:rPr>
          <w:rFonts w:hint="eastAsia" w:ascii="宋体" w:hAnsi="宋体"/>
          <w:bCs/>
          <w:sz w:val="24"/>
          <w:szCs w:val="24"/>
          <w:highlight w:val="none"/>
        </w:rPr>
        <w:t xml:space="preserve">内</w:t>
      </w:r>
      <w:r>
        <w:rPr>
          <w:rFonts w:hint="eastAsia" w:ascii="宋体" w:hAnsi="宋体"/>
          <w:bCs/>
          <w:sz w:val="24"/>
          <w:szCs w:val="24"/>
          <w:highlight w:val="none"/>
          <w:lang w:val="en-US" w:eastAsia="zh-CN"/>
        </w:rPr>
        <w:t xml:space="preserve">任意</w:t>
      </w:r>
      <w:r>
        <w:rPr>
          <w:rFonts w:hint="eastAsia" w:ascii="宋体" w:hAnsi="宋体"/>
          <w:bCs/>
          <w:sz w:val="24"/>
          <w:szCs w:val="24"/>
          <w:highlight w:val="none"/>
        </w:rPr>
        <w:t xml:space="preserve">一个月依法缴纳税收及缴纳社会保障资金的证明材料。投标人依法享受缓缴、免缴税收、社会保障资金的提供证明材料。</w:t>
      </w:r>
      <w:bookmarkEnd w:id="81"/>
      <w:r/>
      <w:bookmarkEnd w:id="82"/>
      <w:r/>
      <w:bookmarkStart w:id="83" w:name="OLE_LINK3"/>
      <w:r/>
      <w:bookmarkStart w:id="84" w:name="OLE_LINK4"/>
      <w:r>
        <w:rPr>
          <w:rFonts w:hint="eastAsia" w:ascii="宋体" w:hAnsi="宋体" w:cs="宋体"/>
          <w:b/>
          <w:bCs/>
          <w:i/>
          <w:sz w:val="24"/>
          <w:szCs w:val="24"/>
          <w:highlight w:val="none"/>
          <w:u w:val="single"/>
        </w:rPr>
      </w:r>
      <w:r/>
    </w:p>
    <w:p>
      <w:pPr>
        <w:pStyle w:val="973"/>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三、上一年度的财务状况报告</w:t>
      </w:r>
      <w:r>
        <w:rPr>
          <w:rFonts w:ascii="宋体" w:hAnsi="宋体" w:cs="宋体"/>
          <w:b/>
          <w:bCs/>
          <w:i/>
          <w:sz w:val="24"/>
          <w:szCs w:val="24"/>
          <w:highlight w:val="none"/>
          <w:u w:val="single"/>
        </w:rPr>
      </w:r>
      <w:r/>
    </w:p>
    <w:p>
      <w:pPr>
        <w:pStyle w:val="973"/>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2"/>
          <w:highlight w:val="none"/>
        </w:rPr>
        <w:t xml:space="preserve">成立不满一年不需提供</w:t>
      </w:r>
      <w:bookmarkEnd w:id="83"/>
      <w:r/>
      <w:bookmarkEnd w:id="84"/>
      <w:r/>
      <w:bookmarkStart w:id="85" w:name="OLE_LINK6"/>
      <w:r/>
      <w:bookmarkStart w:id="86" w:name="OLE_LINK5"/>
      <w:r>
        <w:rPr>
          <w:rFonts w:hint="eastAsia" w:ascii="宋体" w:hAnsi="宋体" w:cs="宋体"/>
          <w:b/>
          <w:bCs/>
          <w:i/>
          <w:sz w:val="24"/>
          <w:szCs w:val="24"/>
          <w:highlight w:val="none"/>
          <w:u w:val="single"/>
        </w:rPr>
      </w:r>
      <w:r/>
    </w:p>
    <w:p>
      <w:pPr>
        <w:pStyle w:val="973"/>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四、具备履行合同所必需的设备和专业技术能力的书面声明</w:t>
      </w:r>
      <w:r>
        <w:rPr>
          <w:rFonts w:ascii="宋体" w:hAnsi="宋体" w:cs="宋体"/>
          <w:b/>
          <w:bCs/>
          <w:i/>
          <w:sz w:val="24"/>
          <w:szCs w:val="24"/>
          <w:highlight w:val="none"/>
          <w:u w:val="single"/>
        </w:rPr>
      </w:r>
      <w:r/>
    </w:p>
    <w:p>
      <w:pPr>
        <w:pStyle w:val="973"/>
        <w:ind w:firstLine="493"/>
        <w:jc w:val="center"/>
        <w:keepLines w:val="0"/>
        <w:keepNext w:val="0"/>
        <w:pageBreakBefore w:val="0"/>
        <w:spacing w:before="161"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声  明</w:t>
      </w:r>
      <w:r>
        <w:rPr>
          <w:rFonts w:hint="eastAsia" w:ascii="宋体" w:hAnsi="宋体" w:cs="宋体"/>
          <w:b/>
          <w:bCs/>
          <w:sz w:val="24"/>
          <w:szCs w:val="24"/>
          <w:highlight w:val="none"/>
        </w:rPr>
      </w:r>
      <w:r/>
    </w:p>
    <w:p>
      <w:pPr>
        <w:pStyle w:val="973"/>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cs="宋体"/>
          <w:bCs/>
          <w:sz w:val="24"/>
          <w:szCs w:val="24"/>
          <w:highlight w:val="none"/>
        </w:rPr>
      </w:r>
      <w:r/>
    </w:p>
    <w:p>
      <w:pPr>
        <w:pStyle w:val="973"/>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主要设备有：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973"/>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主要专业技术能力有：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973"/>
        <w:jc w:val="left"/>
        <w:keepLines/>
        <w:keepNext/>
        <w:pageBreakBefore w:val="0"/>
        <w:spacing w:line="416" w:lineRule="auto"/>
        <w:widowControl w:val="off"/>
        <w:rPr>
          <w:rFonts w:hint="eastAsia" w:ascii="宋体" w:hAnsi="宋体" w:cs="宋体"/>
          <w:b/>
          <w:bCs/>
          <w:i/>
          <w:sz w:val="24"/>
          <w:szCs w:val="24"/>
          <w:highlight w:val="none"/>
          <w:u w:val="single"/>
        </w:rPr>
        <w:outlineLvl w:val="9"/>
      </w:pPr>
      <w:r/>
      <w:bookmarkEnd w:id="85"/>
      <w:r/>
      <w:bookmarkEnd w:id="86"/>
      <w:r>
        <w:rPr>
          <w:rFonts w:hint="eastAsia" w:ascii="宋体" w:hAnsi="宋体" w:cs="宋体"/>
          <w:b/>
          <w:bCs/>
          <w:i/>
          <w:sz w:val="24"/>
          <w:szCs w:val="24"/>
          <w:highlight w:val="none"/>
          <w:u w:val="single"/>
        </w:rPr>
      </w:r>
      <w:r/>
    </w:p>
    <w:p>
      <w:pPr>
        <w:pStyle w:val="973"/>
        <w:jc w:val="left"/>
        <w:keepLines/>
        <w:keepNext/>
        <w:pageBreakBefore w:val="0"/>
        <w:spacing w:line="416" w:lineRule="auto"/>
        <w:widowControl w:val="off"/>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五、参加政府采购活动前 3 年内在经营活动中没有重大违法记录的书面声明</w:t>
      </w:r>
      <w:r>
        <w:rPr>
          <w:rFonts w:ascii="宋体" w:hAnsi="宋体" w:cs="宋体"/>
          <w:b/>
          <w:bCs/>
          <w:i/>
          <w:sz w:val="24"/>
          <w:szCs w:val="24"/>
          <w:highlight w:val="none"/>
          <w:u w:val="single"/>
        </w:rPr>
      </w:r>
      <w:r/>
    </w:p>
    <w:p>
      <w:pPr>
        <w:pStyle w:val="973"/>
        <w:jc w:val="center"/>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声  明</w:t>
      </w:r>
      <w:r>
        <w:rPr>
          <w:rFonts w:ascii="宋体" w:hAnsi="宋体" w:cs="宋体"/>
          <w:b/>
          <w:bCs/>
          <w:sz w:val="24"/>
          <w:szCs w:val="24"/>
          <w:highlight w:val="none"/>
        </w:rPr>
      </w:r>
      <w:r/>
    </w:p>
    <w:p>
      <w:pPr>
        <w:pStyle w:val="973"/>
        <w:ind w:firstLine="481"/>
        <w:jc w:val="left"/>
        <w:spacing w:before="156" w:after="156"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4"/>
          <w:szCs w:val="24"/>
          <w:highlight w:val="none"/>
        </w:rPr>
      </w:r>
      <w:r/>
    </w:p>
    <w:p>
      <w:pPr>
        <w:pStyle w:val="973"/>
        <w:numPr>
          <w:ilvl w:val="0"/>
          <w:numId w:val="0"/>
        </w:numPr>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bidi="ar-SA"/>
        </w:rPr>
        <w:t xml:space="preserve">六、</w:t>
      </w:r>
      <w:r>
        <w:rPr>
          <w:rFonts w:hint="eastAsia" w:ascii="宋体" w:hAnsi="宋体" w:eastAsia="宋体" w:cs="宋体"/>
          <w:b/>
          <w:bCs/>
          <w:i/>
          <w:sz w:val="24"/>
          <w:szCs w:val="24"/>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sz w:val="24"/>
          <w:szCs w:val="24"/>
          <w:highlight w:val="none"/>
          <w:u w:val="single"/>
        </w:rPr>
      </w:r>
      <w:r/>
    </w:p>
    <w:p>
      <w:pPr>
        <w:pStyle w:val="973"/>
        <w:numPr>
          <w:ilvl w:val="0"/>
          <w:numId w:val="0"/>
        </w:numPr>
        <w:ind w:firstLine="480"/>
        <w:jc w:val="left"/>
        <w:keepLines/>
        <w:keepNext/>
        <w:pageBreakBefore w:val="0"/>
        <w:spacing w:line="416" w:lineRule="auto"/>
        <w:widowControl w:val="off"/>
        <w:rPr>
          <w:rFonts w:ascii="宋体" w:hAnsi="宋体" w:cs="宋体"/>
          <w:i/>
          <w:sz w:val="28"/>
          <w:szCs w:val="28"/>
          <w:highlight w:val="none"/>
          <w:u w:val="single"/>
        </w:rPr>
        <w:outlineLvl w:val="1"/>
      </w:pPr>
      <w:r>
        <w:rPr>
          <w:rFonts w:hint="eastAsia" w:ascii="宋体" w:hAnsi="宋体" w:eastAsia="宋体" w:cs="宋体"/>
          <w:bCs/>
          <w:sz w:val="24"/>
          <w:szCs w:val="24"/>
          <w:highlight w:val="none"/>
        </w:rPr>
        <w:t xml:space="preserve">提供网页截图</w:t>
      </w:r>
      <w:r>
        <w:rPr>
          <w:rFonts w:hint="eastAsia" w:ascii="宋体" w:hAnsi="宋体" w:eastAsia="宋体" w:cs="宋体"/>
          <w:b/>
          <w:bCs/>
          <w:i/>
          <w:sz w:val="24"/>
          <w:szCs w:val="24"/>
          <w:highlight w:val="none"/>
          <w:u w:val="single"/>
        </w:rPr>
        <w:br w:type="page" w:clear="all"/>
      </w:r>
      <w:r>
        <w:rPr>
          <w:rFonts w:hint="eastAsia" w:ascii="宋体" w:hAnsi="宋体" w:eastAsia="宋体" w:cs="宋体"/>
          <w:b/>
          <w:bCs/>
          <w:i/>
          <w:sz w:val="24"/>
          <w:szCs w:val="24"/>
          <w:highlight w:val="none"/>
          <w:u w:val="single"/>
          <w:lang w:val="en-US" w:eastAsia="zh-CN"/>
        </w:rPr>
        <w:t xml:space="preserve">七</w:t>
      </w:r>
      <w:r>
        <w:rPr>
          <w:rFonts w:hint="eastAsia" w:ascii="宋体" w:hAnsi="宋体" w:eastAsia="宋体" w:cs="宋体"/>
          <w:b/>
          <w:bCs/>
          <w:i/>
          <w:sz w:val="24"/>
          <w:szCs w:val="24"/>
          <w:highlight w:val="none"/>
          <w:u w:val="single"/>
        </w:rPr>
        <w:t xml:space="preserve">、供应商信用承诺函</w:t>
      </w:r>
      <w:r>
        <w:rPr>
          <w:rFonts w:ascii="宋体" w:hAnsi="宋体" w:cs="宋体"/>
          <w:i/>
          <w:sz w:val="28"/>
          <w:szCs w:val="28"/>
          <w:highlight w:val="none"/>
          <w:u w:val="single"/>
        </w:rPr>
      </w:r>
      <w:r/>
    </w:p>
    <w:p>
      <w:pPr>
        <w:pStyle w:val="973"/>
        <w:jc w:val="center"/>
        <w:spacing w:line="500" w:lineRule="exact"/>
        <w:rPr>
          <w:rFonts w:ascii="方正仿宋_GBK"/>
          <w:color w:val="000000"/>
          <w:szCs w:val="32"/>
          <w:highlight w:val="none"/>
        </w:rPr>
      </w:pPr>
      <w:r>
        <w:rPr>
          <w:rFonts w:hint="eastAsia" w:ascii="宋体" w:hAnsi="宋体"/>
          <w:b/>
          <w:color w:val="000000"/>
          <w:szCs w:val="21"/>
          <w:highlight w:val="none"/>
        </w:rPr>
        <w:t xml:space="preserve">供应商信用承诺函</w:t>
      </w:r>
      <w:r>
        <w:rPr>
          <w:rFonts w:ascii="方正仿宋_GBK"/>
          <w:color w:val="000000"/>
          <w:szCs w:val="32"/>
          <w:highlight w:val="none"/>
        </w:rPr>
      </w:r>
      <w:r/>
    </w:p>
    <w:p>
      <w:pPr>
        <w:pStyle w:val="973"/>
        <w:keepLines w:val="0"/>
        <w:keepNext w:val="0"/>
        <w:pageBreakBefore w:val="0"/>
        <w:spacing w:line="480" w:lineRule="exact"/>
        <w:widowControl w:val="off"/>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承诺主体名称：</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973"/>
        <w:keepLines w:val="0"/>
        <w:keepNext w:val="0"/>
        <w:pageBreakBefore w:val="0"/>
        <w:spacing w:line="480" w:lineRule="exact"/>
        <w:widowControl w:val="off"/>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统一社会信用代码：</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973"/>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973"/>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73"/>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73"/>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73"/>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73"/>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73"/>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73"/>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73"/>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973"/>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73"/>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73"/>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973"/>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承诺单位</w:t>
      </w:r>
      <w:r>
        <w:rPr>
          <w:rFonts w:hint="eastAsia" w:ascii="宋体" w:hAnsi="宋体" w:cs="宋体"/>
          <w:sz w:val="21"/>
          <w:szCs w:val="21"/>
          <w:highlight w:val="none"/>
        </w:rPr>
        <w:t xml:space="preserve">（加盖CA电子公章）</w:t>
      </w:r>
      <w:r>
        <w:rPr>
          <w:rFonts w:hint="eastAsia" w:ascii="宋体" w:hAnsi="宋体"/>
          <w:color w:val="000000"/>
          <w:sz w:val="21"/>
          <w:szCs w:val="21"/>
          <w:highlight w:val="none"/>
        </w:rPr>
        <w:t xml:space="preserve">：</w:t>
      </w:r>
      <w:r>
        <w:rPr>
          <w:rFonts w:hint="eastAsia" w:ascii="宋体" w:hAnsi="宋体"/>
          <w:color w:val="000000"/>
          <w:szCs w:val="21"/>
          <w:highlight w:val="none"/>
        </w:rPr>
        <w:t xml:space="preserve">           </w:t>
      </w:r>
      <w:r>
        <w:rPr>
          <w:rFonts w:ascii="宋体" w:hAnsi="宋体"/>
          <w:color w:val="000000"/>
          <w:szCs w:val="21"/>
          <w:highlight w:val="none"/>
        </w:rPr>
      </w:r>
      <w:r/>
    </w:p>
    <w:p>
      <w:pPr>
        <w:pStyle w:val="973"/>
        <w:jc w:val="center"/>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法定代表人（负责人）：</w:t>
      </w:r>
      <w:r>
        <w:rPr>
          <w:rFonts w:hint="eastAsia" w:ascii="宋体" w:hAnsi="宋体"/>
          <w:color w:val="000000"/>
          <w:szCs w:val="21"/>
          <w:highlight w:val="none"/>
        </w:rPr>
      </w:r>
      <w:r/>
    </w:p>
    <w:p>
      <w:pPr>
        <w:pStyle w:val="976"/>
        <w:jc w:val="right"/>
        <w:rPr>
          <w:rFonts w:hint="eastAsia" w:ascii="宋体" w:hAnsi="宋体" w:eastAsia="宋体" w:cs="Times New Roman"/>
          <w:b w:val="0"/>
          <w:bCs w:val="0"/>
          <w:color w:val="000000"/>
          <w:sz w:val="21"/>
          <w:szCs w:val="21"/>
          <w:highlight w:val="none"/>
          <w:lang w:val="en-US" w:eastAsia="zh-CN" w:bidi="ar-SA"/>
        </w:rPr>
      </w:pPr>
      <w:r/>
      <w:bookmarkStart w:id="87" w:name="_Toc20792"/>
      <w:r>
        <w:rPr>
          <w:rFonts w:hint="eastAsia" w:ascii="宋体" w:hAnsi="宋体" w:eastAsia="宋体" w:cs="Times New Roman"/>
          <w:b w:val="0"/>
          <w:bCs w:val="0"/>
          <w:color w:val="000000"/>
          <w:sz w:val="21"/>
          <w:szCs w:val="21"/>
          <w:highlight w:val="none"/>
          <w:lang w:val="en-US" w:eastAsia="zh-CN" w:bidi="ar-SA"/>
        </w:rPr>
        <w:t xml:space="preserve">年    月    日</w:t>
      </w:r>
      <w:bookmarkEnd w:id="87"/>
      <w:r>
        <w:rPr>
          <w:rFonts w:hint="eastAsia" w:ascii="宋体" w:hAnsi="宋体" w:eastAsia="宋体" w:cs="Times New Roman"/>
          <w:b w:val="0"/>
          <w:bCs w:val="0"/>
          <w:color w:val="000000"/>
          <w:sz w:val="21"/>
          <w:szCs w:val="21"/>
          <w:highlight w:val="none"/>
          <w:lang w:val="en-US" w:eastAsia="zh-CN" w:bidi="ar-SA"/>
        </w:rPr>
      </w:r>
      <w:r/>
    </w:p>
    <w:p>
      <w:pPr>
        <w:pStyle w:val="973"/>
        <w:jc w:val="left"/>
        <w:keepLines/>
        <w:keepNext/>
        <w:spacing w:before="260" w:line="415" w:lineRule="auto"/>
        <w:rPr>
          <w:rFonts w:hint="eastAsia" w:ascii="宋体" w:hAnsi="宋体" w:eastAsia="宋体" w:cs="宋体"/>
          <w:i/>
          <w:sz w:val="32"/>
          <w:szCs w:val="32"/>
          <w:highlight w:val="none"/>
          <w:u w:val="single"/>
          <w:lang w:eastAsia="zh-CN"/>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八</w:t>
      </w:r>
      <w:r>
        <w:rPr>
          <w:rFonts w:hint="eastAsia" w:ascii="宋体" w:hAnsi="宋体" w:eastAsia="宋体" w:cs="宋体"/>
          <w:b/>
          <w:bCs/>
          <w:i/>
          <w:sz w:val="24"/>
          <w:szCs w:val="24"/>
          <w:highlight w:val="none"/>
          <w:u w:val="single"/>
        </w:rPr>
        <w:t xml:space="preserve">、特定资格要求的证明文件（如果本项目设置特定资格要求，则需要提供）</w:t>
      </w:r>
      <w:r>
        <w:rPr>
          <w:rFonts w:hint="eastAsia" w:ascii="宋体" w:hAnsi="宋体" w:eastAsia="宋体" w:cs="宋体"/>
          <w:i/>
          <w:sz w:val="32"/>
          <w:szCs w:val="32"/>
          <w:highlight w:val="none"/>
          <w:u w:val="single"/>
          <w:lang w:eastAsia="zh-CN"/>
        </w:rPr>
      </w:r>
      <w:r/>
    </w:p>
    <w:p>
      <w:pPr>
        <w:pStyle w:val="973"/>
        <w:jc w:val="left"/>
        <w:spacing w:line="360" w:lineRule="auto"/>
        <w:rPr>
          <w:rFonts w:hint="eastAsia" w:ascii="宋体" w:hAnsi="宋体"/>
          <w:sz w:val="24"/>
          <w:highlight w:val="none"/>
        </w:rPr>
      </w:pPr>
      <w:r>
        <w:rPr>
          <w:rFonts w:hint="eastAsia" w:ascii="宋体" w:hAnsi="宋体"/>
          <w:sz w:val="24"/>
          <w:highlight w:val="none"/>
        </w:rPr>
      </w:r>
      <w:r/>
    </w:p>
    <w:p>
      <w:pPr>
        <w:pStyle w:val="973"/>
        <w:jc w:val="left"/>
        <w:keepLines/>
        <w:keepNext/>
        <w:spacing w:before="260" w:line="415" w:lineRule="auto"/>
        <w:rPr>
          <w:rFonts w:hint="eastAsia" w:ascii="宋体" w:hAnsi="宋体" w:eastAsia="宋体" w:cs="宋体"/>
          <w:b/>
          <w:bCs/>
          <w:i/>
          <w:sz w:val="24"/>
          <w:szCs w:val="24"/>
          <w:highlight w:val="none"/>
          <w:u w:val="single"/>
          <w:lang w:val="en-US" w:eastAsia="zh-CN"/>
        </w:rPr>
        <w:outlineLvl w:val="1"/>
      </w:pPr>
      <w:r>
        <w:rPr>
          <w:rFonts w:hint="eastAsia" w:ascii="宋体" w:hAnsi="宋体" w:eastAsia="宋体" w:cs="宋体"/>
          <w:b/>
          <w:bCs/>
          <w:i/>
          <w:sz w:val="24"/>
          <w:szCs w:val="24"/>
          <w:highlight w:val="none"/>
          <w:u w:val="single"/>
          <w:lang w:val="en-US" w:eastAsia="zh-CN"/>
        </w:rPr>
      </w:r>
      <w:r/>
    </w:p>
    <w:p>
      <w:pPr>
        <w:pStyle w:val="973"/>
        <w:jc w:val="left"/>
        <w:keepLines/>
        <w:keepNext/>
        <w:spacing w:before="260" w:line="415" w:lineRule="auto"/>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rPr>
        <w:t xml:space="preserve">九</w:t>
      </w:r>
      <w:r>
        <w:rPr>
          <w:rFonts w:hint="eastAsia" w:ascii="宋体" w:hAnsi="宋体" w:eastAsia="宋体" w:cs="宋体"/>
          <w:b/>
          <w:bCs/>
          <w:i/>
          <w:sz w:val="24"/>
          <w:szCs w:val="24"/>
          <w:highlight w:val="none"/>
          <w:u w:val="single"/>
        </w:rPr>
        <w:t xml:space="preserve">、法人授权书</w:t>
      </w:r>
      <w:r>
        <w:rPr>
          <w:rFonts w:hint="eastAsia" w:ascii="宋体" w:hAnsi="宋体" w:eastAsia="宋体" w:cs="宋体"/>
          <w:b/>
          <w:bCs/>
          <w:i/>
          <w:sz w:val="24"/>
          <w:szCs w:val="24"/>
          <w:highlight w:val="none"/>
          <w:u w:val="single"/>
        </w:rPr>
      </w:r>
      <w:r/>
    </w:p>
    <w:p>
      <w:pPr>
        <w:pStyle w:val="1030"/>
        <w:ind w:left="0" w:firstLine="0"/>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1030"/>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1030"/>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1030"/>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1030"/>
        <w:ind w:firstLine="420"/>
        <w:spacing w:line="360" w:lineRule="auto"/>
        <w:tabs>
          <w:tab w:val="left" w:pos="360" w:leader="none"/>
        </w:tabs>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1030"/>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0"/>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（加盖CA电子公章）</w:t>
      </w:r>
      <w:r>
        <w:rPr>
          <w:rFonts w:ascii="宋体" w:hAnsi="宋体"/>
          <w:color w:val="000000"/>
          <w:sz w:val="21"/>
          <w:szCs w:val="21"/>
          <w:highlight w:val="none"/>
        </w:rPr>
      </w:r>
      <w:r/>
    </w:p>
    <w:p>
      <w:pPr>
        <w:pStyle w:val="1030"/>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1030"/>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r>
      <w:r/>
    </w:p>
    <w:p>
      <w:pPr>
        <w:pStyle w:val="973"/>
        <w:spacing w:line="460" w:lineRule="exact"/>
        <w:rPr>
          <w:rFonts w:ascii="宋体" w:hAnsi="宋体"/>
          <w:bCs/>
          <w:color w:val="000000"/>
          <w:highlight w:val="none"/>
        </w:rPr>
      </w:pPr>
      <w:r>
        <w:rPr>
          <w:rFonts w:ascii="宋体" w:hAnsi="宋体"/>
          <w:bCs/>
          <w:color w:val="000000"/>
          <w:highlight w:val="none"/>
        </w:rPr>
      </w:r>
      <w:r/>
    </w:p>
    <w:p>
      <w:pPr>
        <w:pStyle w:val="973"/>
        <w:ind w:firstLine="420"/>
        <w:spacing w:line="460" w:lineRule="exact"/>
        <w:rPr>
          <w:rFonts w:hint="eastAsia" w:ascii="宋体" w:hAnsi="宋体"/>
          <w:bCs/>
          <w:color w:val="000000"/>
          <w:highlight w:val="none"/>
        </w:r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973"/>
        <w:jc w:val="left"/>
        <w:keepLines/>
        <w:keepNext/>
        <w:pageBreakBefore w:val="0"/>
        <w:spacing w:line="416" w:lineRule="auto"/>
        <w:widowControl w:val="off"/>
        <w:rPr>
          <w:rFonts w:ascii="宋体" w:hAnsi="宋体" w:cs="宋体"/>
          <w:i/>
          <w:sz w:val="32"/>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十</w:t>
      </w:r>
      <w:r>
        <w:rPr>
          <w:rFonts w:hint="eastAsia" w:ascii="宋体" w:hAnsi="宋体" w:eastAsia="宋体" w:cs="宋体"/>
          <w:b/>
          <w:bCs/>
          <w:i/>
          <w:sz w:val="24"/>
          <w:szCs w:val="24"/>
          <w:highlight w:val="none"/>
          <w:u w:val="single"/>
          <w:lang w:eastAsia="zh-CN"/>
        </w:rPr>
        <w:t xml:space="preserve">、</w:t>
      </w:r>
      <w:r>
        <w:rPr>
          <w:rFonts w:hint="eastAsia" w:ascii="宋体" w:hAnsi="宋体" w:eastAsia="宋体" w:cs="宋体"/>
          <w:b/>
          <w:bCs/>
          <w:i/>
          <w:sz w:val="24"/>
          <w:szCs w:val="24"/>
          <w:highlight w:val="none"/>
          <w:u w:val="single"/>
        </w:rPr>
        <w:t xml:space="preserve">投标函</w:t>
      </w:r>
      <w:r>
        <w:rPr>
          <w:rFonts w:ascii="宋体" w:hAnsi="宋体" w:cs="宋体"/>
          <w:i/>
          <w:sz w:val="32"/>
          <w:szCs w:val="32"/>
          <w:highlight w:val="none"/>
          <w:u w:val="single"/>
        </w:rPr>
      </w:r>
      <w:r/>
    </w:p>
    <w:p>
      <w:pPr>
        <w:pStyle w:val="973"/>
        <w:jc w:val="center"/>
        <w:spacing w:line="360" w:lineRule="auto"/>
        <w:rPr>
          <w:rFonts w:hint="eastAsia" w:ascii="宋体" w:hAnsi="宋体"/>
          <w:b/>
          <w:color w:val="000000"/>
          <w:highlight w:val="none"/>
        </w:rPr>
      </w:pPr>
      <w:r>
        <w:rPr>
          <w:rFonts w:hint="eastAsia" w:ascii="宋体" w:hAnsi="宋体"/>
          <w:b/>
          <w:color w:val="000000"/>
          <w:highlight w:val="none"/>
        </w:rPr>
        <w:t xml:space="preserve">投标函</w:t>
      </w:r>
      <w:r>
        <w:rPr>
          <w:rFonts w:hint="eastAsia" w:ascii="宋体" w:hAnsi="宋体"/>
          <w:b/>
          <w:color w:val="000000"/>
          <w:highlight w:val="none"/>
        </w:rPr>
      </w:r>
      <w:r/>
    </w:p>
    <w:p>
      <w:pPr>
        <w:pStyle w:val="1030"/>
        <w:ind w:left="0" w:firstLine="0"/>
        <w:spacing w:line="360" w:lineRule="auto"/>
        <w:tabs>
          <w:tab w:val="left" w:pos="360" w:leader="none"/>
        </w:tabs>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u w:val="single"/>
          <w:lang w:eastAsia="zh-CN"/>
        </w:rPr>
        <w:t xml:space="preserve">扬州博远工程咨询有限公司</w:t>
      </w:r>
      <w:r>
        <w:rPr>
          <w:rFonts w:hint="eastAsia" w:ascii="宋体" w:hAnsi="宋体" w:eastAsia="宋体"/>
          <w:color w:val="000000"/>
          <w:sz w:val="21"/>
          <w:szCs w:val="21"/>
          <w:highlight w:val="none"/>
          <w:lang w:eastAsia="zh-CN"/>
        </w:rPr>
      </w:r>
      <w:r/>
    </w:p>
    <w:p>
      <w:pPr>
        <w:pStyle w:val="1028"/>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）号</w:t>
      </w:r>
      <w:r>
        <w:rPr>
          <w:rFonts w:hint="eastAsia" w:ascii="宋体" w:hAnsi="宋体"/>
          <w:color w:val="000000"/>
          <w:sz w:val="21"/>
          <w:szCs w:val="21"/>
          <w:highlight w:val="none"/>
        </w:rPr>
        <w:t xml:space="preserve">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1028"/>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1028"/>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1028"/>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1028"/>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102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102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102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1028"/>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1028"/>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1028"/>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1028"/>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1028"/>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1028"/>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1028"/>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1028"/>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73"/>
        <w:ind w:firstLine="420"/>
        <w:spacing w:line="360" w:lineRule="auto"/>
        <w:rPr>
          <w:rFonts w:hint="eastAsia" w:ascii="宋体" w:hAnsi="宋体"/>
          <w:b/>
          <w:bCs/>
          <w:color w:val="000000"/>
          <w:highlight w:val="none"/>
        </w:rPr>
      </w:pPr>
      <w:r>
        <w:rPr>
          <w:rFonts w:hint="eastAsia" w:ascii="宋体" w:hAnsi="宋体"/>
          <w:color w:val="000000"/>
          <w:sz w:val="21"/>
          <w:szCs w:val="21"/>
          <w:highlight w:val="none"/>
        </w:rPr>
        <w:t xml:space="preserve">日 期：________年____月____日</w:t>
      </w:r>
      <w:r>
        <w:rPr>
          <w:rFonts w:hint="eastAsia" w:ascii="宋体" w:hAnsi="宋体"/>
          <w:b/>
          <w:bCs/>
          <w:color w:val="000000"/>
          <w:highlight w:val="none"/>
        </w:rPr>
      </w:r>
      <w:r/>
    </w:p>
    <w:p>
      <w:pPr>
        <w:pStyle w:val="973"/>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3"/>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3"/>
        <w:spacing w:line="360" w:lineRule="auto"/>
        <w:rPr>
          <w:rFonts w:hint="eastAsia" w:ascii="宋体" w:hAnsi="宋体"/>
          <w:b/>
          <w:bCs/>
          <w:color w:val="000000"/>
          <w:highlight w:val="none"/>
        </w:rPr>
      </w:pPr>
      <w:r>
        <w:rPr>
          <w:rFonts w:hint="eastAsia" w:ascii="宋体" w:hAnsi="宋体"/>
          <w:b/>
          <w:bCs/>
          <w:color w:val="000000"/>
          <w:highlight w:val="none"/>
        </w:rPr>
      </w:r>
      <w:r/>
    </w:p>
    <w:p>
      <w:pPr>
        <w:jc w:val="left"/>
        <w:keepLines/>
        <w:keepNext/>
        <w:pageBreakBefore w:val="0"/>
        <w:spacing w:line="416" w:lineRule="auto"/>
        <w:widowControl w:val="off"/>
        <w:rPr>
          <w:rFonts w:hint="eastAsia" w:ascii="宋体" w:hAnsi="宋体" w:eastAsia="宋体" w:cs="宋体"/>
          <w:b/>
          <w:bCs w:val="0"/>
          <w:i w:val="0"/>
          <w:sz w:val="24"/>
          <w:szCs w:val="24"/>
          <w:highlight w:val="none"/>
          <w:u w:val="single"/>
          <w:lang w:eastAsia="zh-CN"/>
        </w:rPr>
        <w:outlineLvl w:val="1"/>
      </w:pPr>
      <w:r>
        <w:rPr>
          <w:rFonts w:hint="eastAsia" w:ascii="宋体" w:hAnsi="宋体" w:eastAsia="宋体" w:cs="宋体"/>
          <w:b/>
          <w:bCs/>
          <w:i w:val="0"/>
          <w:iCs/>
          <w:sz w:val="24"/>
          <w:szCs w:val="24"/>
          <w:highlight w:val="none"/>
          <w:u w:val="single"/>
          <w:lang w:eastAsia="zh-CN"/>
        </w:rPr>
      </w:r>
      <w:r>
        <w:rPr>
          <w:rFonts w:hint="eastAsia" w:ascii="宋体" w:hAnsi="宋体" w:eastAsia="宋体" w:cs="宋体"/>
          <w:b/>
          <w:bCs/>
          <w:i w:val="0"/>
          <w:iCs/>
          <w:sz w:val="24"/>
          <w:szCs w:val="24"/>
          <w:highlight w:val="none"/>
          <w:u w:val="single"/>
          <w:lang w:eastAsia="zh-CN"/>
        </w:rPr>
      </w:r>
      <w:r/>
    </w:p>
    <w:p>
      <w:pPr>
        <w:jc w:val="left"/>
        <w:keepLines/>
        <w:keepNext/>
        <w:pageBreakBefore w:val="0"/>
        <w:spacing w:line="416" w:lineRule="auto"/>
        <w:widowControl w:val="off"/>
        <w:rPr>
          <w:rFonts w:hint="eastAsia" w:ascii="宋体" w:hAnsi="宋体" w:eastAsia="宋体" w:cs="宋体"/>
          <w:b/>
          <w:bCs w:val="0"/>
          <w:i w:val="0"/>
          <w:sz w:val="24"/>
          <w:szCs w:val="24"/>
          <w:highlight w:val="none"/>
          <w:u w:val="single"/>
          <w:lang w:eastAsia="zh-CN"/>
        </w:rPr>
        <w:outlineLvl w:val="1"/>
      </w:pPr>
      <w:r>
        <w:rPr>
          <w:rFonts w:hint="eastAsia" w:ascii="宋体" w:hAnsi="宋体" w:eastAsia="宋体" w:cs="宋体"/>
          <w:b/>
          <w:bCs/>
          <w:i w:val="0"/>
          <w:iCs/>
          <w:sz w:val="24"/>
          <w:szCs w:val="24"/>
          <w:highlight w:val="none"/>
          <w:u w:val="single"/>
          <w:lang w:eastAsia="zh-CN"/>
        </w:rPr>
      </w:r>
      <w:r>
        <w:rPr>
          <w:rFonts w:hint="eastAsia" w:ascii="宋体" w:hAnsi="宋体" w:eastAsia="宋体" w:cs="宋体"/>
          <w:b/>
          <w:bCs/>
          <w:i w:val="0"/>
          <w:iCs/>
          <w:sz w:val="24"/>
          <w:szCs w:val="24"/>
          <w:highlight w:val="none"/>
          <w:u w:val="single"/>
          <w:lang w:eastAsia="zh-CN"/>
        </w:rPr>
      </w:r>
      <w:r/>
    </w:p>
    <w:p>
      <w:pPr>
        <w:shd w:val="nil" w:color="auto"/>
        <w:rPr>
          <w:rFonts w:hint="eastAsia" w:ascii="宋体" w:hAnsi="宋体" w:eastAsia="宋体" w:cs="宋体"/>
          <w:b/>
          <w:bCs w:val="0"/>
          <w:i w:val="0"/>
          <w:sz w:val="24"/>
          <w:szCs w:val="24"/>
          <w:highlight w:val="none"/>
          <w:u w:val="single"/>
          <w:lang w:eastAsia="zh-CN"/>
        </w:rPr>
        <w:outlineLvl w:val="1"/>
      </w:pPr>
      <w:r>
        <w:rPr>
          <w:rFonts w:hint="eastAsia" w:ascii="宋体" w:hAnsi="宋体" w:eastAsia="宋体" w:cs="宋体"/>
          <w:b/>
          <w:bCs/>
          <w:i w:val="0"/>
          <w:iCs/>
          <w:sz w:val="24"/>
          <w:szCs w:val="24"/>
          <w:highlight w:val="none"/>
          <w:u w:val="single"/>
          <w:lang w:eastAsia="zh-CN"/>
        </w:rPr>
        <w:br w:type="page" w:clear="all"/>
      </w:r>
      <w:r>
        <w:rPr>
          <w:rFonts w:hint="eastAsia" w:ascii="宋体" w:hAnsi="宋体" w:eastAsia="宋体" w:cs="宋体"/>
          <w:b/>
          <w:bCs/>
          <w:i w:val="0"/>
          <w:iCs/>
          <w:sz w:val="24"/>
          <w:szCs w:val="24"/>
          <w:highlight w:val="none"/>
          <w:u w:val="single"/>
          <w:lang w:eastAsia="zh-CN"/>
        </w:rPr>
      </w:r>
      <w:r/>
    </w:p>
    <w:p>
      <w:pPr>
        <w:pStyle w:val="973"/>
        <w:jc w:val="left"/>
        <w:keepLines/>
        <w:keepNext/>
        <w:pageBreakBefore w:val="0"/>
        <w:spacing w:line="416" w:lineRule="auto"/>
        <w:widowControl w:val="off"/>
        <w:rPr>
          <w:rFonts w:hint="eastAsia" w:ascii="宋体" w:hAnsi="宋体" w:eastAsia="宋体" w:cs="宋体"/>
          <w:b/>
          <w:bCs w:val="0"/>
          <w:i w:val="0"/>
          <w:iCs/>
          <w:sz w:val="24"/>
          <w:szCs w:val="24"/>
          <w:highlight w:val="none"/>
          <w:u w:val="single"/>
          <w:lang w:eastAsia="zh-CN"/>
        </w:rPr>
        <w:outlineLvl w:val="1"/>
      </w:pPr>
      <w:r>
        <w:rPr>
          <w:rFonts w:hint="eastAsia" w:ascii="宋体" w:hAnsi="宋体" w:eastAsia="宋体" w:cs="宋体"/>
          <w:b/>
          <w:bCs/>
          <w:i w:val="0"/>
          <w:iCs/>
          <w:sz w:val="24"/>
          <w:szCs w:val="24"/>
          <w:highlight w:val="none"/>
          <w:u w:val="single"/>
          <w:lang w:val="en-US" w:eastAsia="zh-CN"/>
        </w:rPr>
        <w:t xml:space="preserve">十一</w:t>
      </w:r>
      <w:r>
        <w:rPr>
          <w:rFonts w:hint="eastAsia" w:ascii="宋体" w:hAnsi="宋体" w:eastAsia="宋体" w:cs="宋体"/>
          <w:b/>
          <w:bCs/>
          <w:i w:val="0"/>
          <w:iCs/>
          <w:sz w:val="24"/>
          <w:szCs w:val="24"/>
          <w:highlight w:val="none"/>
          <w:u w:val="single"/>
          <w:lang w:eastAsia="zh-CN"/>
        </w:rPr>
        <w:t xml:space="preserve">、</w:t>
      </w:r>
      <w:r>
        <w:rPr>
          <w:rFonts w:hint="eastAsia" w:ascii="宋体" w:hAnsi="宋体" w:eastAsia="宋体" w:cs="宋体"/>
          <w:b/>
          <w:bCs/>
          <w:i w:val="0"/>
          <w:iCs/>
          <w:sz w:val="24"/>
          <w:szCs w:val="24"/>
          <w:highlight w:val="none"/>
          <w:u w:val="single"/>
          <w:lang w:val="en-US" w:eastAsia="zh-CN"/>
        </w:rPr>
        <w:t xml:space="preserve">中小</w:t>
      </w:r>
      <w:r>
        <w:rPr>
          <w:rFonts w:hint="eastAsia" w:ascii="宋体" w:hAnsi="宋体" w:eastAsia="宋体" w:cs="宋体"/>
          <w:b/>
          <w:bCs/>
          <w:i w:val="0"/>
          <w:iCs/>
          <w:sz w:val="24"/>
          <w:szCs w:val="24"/>
          <w:highlight w:val="none"/>
          <w:u w:val="single"/>
          <w:lang w:eastAsia="zh-CN"/>
        </w:rPr>
        <w:t xml:space="preserve">企业声明函（服务）</w:t>
      </w:r>
      <w:r>
        <w:rPr>
          <w:rFonts w:hint="eastAsia" w:ascii="宋体" w:hAnsi="宋体" w:eastAsia="宋体" w:cs="宋体"/>
          <w:b/>
          <w:bCs/>
          <w:i w:val="0"/>
          <w:iCs/>
          <w:sz w:val="24"/>
          <w:szCs w:val="24"/>
          <w:highlight w:val="none"/>
          <w:u w:val="single"/>
          <w:lang w:eastAsia="zh-CN"/>
        </w:rPr>
      </w:r>
      <w:r/>
    </w:p>
    <w:p>
      <w:pPr>
        <w:pStyle w:val="973"/>
        <w:jc w:val="center"/>
        <w:spacing w:before="312" w:after="312" w:line="360" w:lineRule="auto"/>
        <w:rPr>
          <w:rFonts w:hint="eastAsia"/>
          <w:b/>
          <w:bCs/>
          <w:color w:val="000000"/>
          <w:highlight w:val="none"/>
        </w:rPr>
      </w:pPr>
      <w:r>
        <w:rPr>
          <w:rFonts w:hint="eastAsia"/>
          <w:b/>
          <w:bCs/>
          <w:color w:val="000000"/>
          <w:highlight w:val="none"/>
        </w:rPr>
        <w:t xml:space="preserve">中小企业声明函（服务）</w:t>
      </w:r>
      <w:r>
        <w:rPr>
          <w:rFonts w:hint="eastAsia"/>
          <w:b/>
          <w:bCs/>
          <w:color w:val="000000"/>
          <w:highlight w:val="none"/>
        </w:rPr>
      </w:r>
      <w:r/>
    </w:p>
    <w:p>
      <w:pPr>
        <w:pStyle w:val="973"/>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采购活动，服务全部由符合政策要求的中小企业承接（或者：工程的施工单位全部为符合政策要求的中小企业）。相关企业（含联合体中的中小企业、签订分包意向协议的中小企业）的具体情况如下：</w:t>
      </w:r>
      <w:r>
        <w:rPr>
          <w:rFonts w:hint="eastAsia"/>
          <w:color w:val="000000"/>
          <w:highlight w:val="none"/>
        </w:rPr>
      </w:r>
      <w:r/>
    </w:p>
    <w:p>
      <w:pPr>
        <w:pStyle w:val="973"/>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w:t>
      </w:r>
      <w:r>
        <w:rPr>
          <w:rFonts w:hint="eastAsia"/>
          <w:b/>
          <w:bCs/>
          <w:color w:val="ff0000"/>
          <w:highlight w:val="none"/>
          <w:u w:val="single"/>
        </w:rPr>
        <w:t xml:space="preserve">软件和信息技术服务业</w:t>
      </w:r>
      <w:r>
        <w:rPr>
          <w:rFonts w:hint="eastAsia"/>
          <w:color w:val="000000"/>
          <w:highlight w:val="none"/>
          <w:u w:val="single"/>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973"/>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973"/>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973"/>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973"/>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973"/>
        <w:ind w:firstLine="420"/>
        <w:jc w:val="left"/>
        <w:spacing w:line="360" w:lineRule="auto"/>
        <w:rPr>
          <w:rFonts w:hint="eastAsia"/>
          <w:color w:val="000000"/>
          <w:highlight w:val="none"/>
        </w:rPr>
      </w:pPr>
      <w:r>
        <w:rPr>
          <w:rFonts w:hint="eastAsia"/>
          <w:color w:val="000000"/>
          <w:highlight w:val="none"/>
        </w:rPr>
      </w:r>
      <w:r/>
    </w:p>
    <w:p>
      <w:pPr>
        <w:pStyle w:val="973"/>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973"/>
        <w:rPr>
          <w:rFonts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lang w:val="en-US" w:eastAsia="zh-CN"/>
        </w:rPr>
        <w:t xml:space="preserve">2</w:t>
      </w:r>
      <w:r>
        <w:rPr>
          <w:rFonts w:hint="eastAsia" w:ascii="宋体" w:hAnsi="宋体"/>
          <w:color w:val="000000"/>
          <w:highlight w:val="none"/>
        </w:rPr>
        <w:t xml:space="preserve">、企业声明函请完整填写，中标后将公示。</w:t>
      </w:r>
      <w:r>
        <w:rPr>
          <w:rFonts w:ascii="宋体" w:hAnsi="宋体"/>
          <w:color w:val="000000"/>
          <w:highlight w:val="none"/>
        </w:rPr>
      </w:r>
      <w:r/>
    </w:p>
    <w:p>
      <w:pPr>
        <w:pStyle w:val="973"/>
        <w:ind w:firstLine="420"/>
        <w:jc w:val="left"/>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、投标人应当对其出具的《中小企业声明函》真实性负责，投标人出具的《中小企业声明函》内容不实的，属于提供虚假材料谋取中标。</w:t>
      </w:r>
      <w:r>
        <w:rPr>
          <w:rFonts w:hint="eastAsia"/>
          <w:color w:val="000000"/>
          <w:highlight w:val="none"/>
        </w:rPr>
      </w:r>
      <w:r/>
    </w:p>
    <w:p>
      <w:pPr>
        <w:pStyle w:val="973"/>
        <w:ind w:firstLine="420"/>
        <w:jc w:val="left"/>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、中小企业不得属于大企业的分支机构，不得存在控股股东为大企业的情形，不得存在与大企业的负责人为同一人的情形。</w:t>
      </w:r>
      <w:r>
        <w:rPr>
          <w:rFonts w:hint="eastAsia"/>
          <w:color w:val="000000"/>
          <w:highlight w:val="none"/>
        </w:rPr>
      </w:r>
      <w:r/>
    </w:p>
    <w:p>
      <w:pPr>
        <w:pStyle w:val="973"/>
        <w:ind w:firstLine="420"/>
        <w:jc w:val="left"/>
        <w:rPr>
          <w:color w:val="000000"/>
          <w:highlight w:val="none"/>
        </w:rPr>
      </w:pPr>
      <w:r>
        <w:rPr>
          <w:rFonts w:hint="eastAsia"/>
          <w:color w:val="000000"/>
          <w:highlight w:val="none"/>
          <w:lang w:val="en-US" w:eastAsia="zh-CN"/>
        </w:rPr>
        <w:t xml:space="preserve">5</w:t>
      </w:r>
      <w:r>
        <w:rPr>
          <w:rFonts w:hint="eastAsia"/>
          <w:color w:val="000000"/>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973"/>
        <w:ind w:firstLine="420"/>
        <w:jc w:val="left"/>
        <w:rPr>
          <w:rFonts w:hint="eastAsia"/>
          <w:color w:val="000000"/>
          <w:highlight w:val="none"/>
        </w:rPr>
      </w:pPr>
      <w:r>
        <w:rPr>
          <w:rFonts w:hint="eastAsia"/>
          <w:color w:val="000000"/>
          <w:highlight w:val="none"/>
        </w:rPr>
      </w:r>
      <w:r/>
    </w:p>
    <w:p>
      <w:pPr>
        <w:pStyle w:val="973"/>
        <w:ind w:firstLine="420"/>
        <w:jc w:val="left"/>
        <w:rPr>
          <w:rFonts w:hint="eastAsia"/>
          <w:color w:val="000000"/>
          <w:highlight w:val="none"/>
        </w:rPr>
      </w:pPr>
      <w:r>
        <w:rPr>
          <w:rFonts w:hint="eastAsia"/>
          <w:color w:val="000000"/>
          <w:highlight w:val="none"/>
        </w:rPr>
      </w:r>
      <w:r/>
    </w:p>
    <w:p>
      <w:pPr>
        <w:pStyle w:val="973"/>
        <w:ind w:firstLine="4620"/>
        <w:jc w:val="left"/>
        <w:rPr>
          <w:rFonts w:hint="eastAsia"/>
          <w:color w:val="000000"/>
          <w:highlight w:val="none"/>
        </w:rPr>
      </w:pPr>
      <w:r>
        <w:rPr>
          <w:rFonts w:hint="eastAsia"/>
          <w:color w:val="000000"/>
          <w:highlight w:val="none"/>
        </w:rPr>
        <w:t xml:space="preserve">企业名称（加盖CA电子公章）：</w:t>
      </w:r>
      <w:r>
        <w:rPr>
          <w:rFonts w:hint="eastAsia"/>
          <w:color w:val="000000"/>
          <w:highlight w:val="none"/>
        </w:rPr>
      </w:r>
      <w:r/>
    </w:p>
    <w:p>
      <w:pPr>
        <w:pStyle w:val="973"/>
        <w:ind w:firstLine="4620"/>
        <w:jc w:val="left"/>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975"/>
        <w:jc w:val="center"/>
        <w:pageBreakBefore w:val="0"/>
        <w:spacing w:before="0" w:beforeAutospacing="0" w:after="300" w:line="300" w:lineRule="exact"/>
        <w:widowControl/>
        <w:rPr>
          <w:rFonts w:ascii="宋体" w:hAnsi="宋体"/>
          <w:color w:val="000000"/>
          <w:sz w:val="21"/>
          <w:szCs w:val="21"/>
          <w:highlight w:val="none"/>
        </w:rPr>
      </w:pPr>
      <w:r>
        <w:rPr>
          <w:rFonts w:hint="eastAsia" w:ascii="宋体" w:hAnsi="宋体"/>
          <w:b w:val="0"/>
          <w:bCs w:val="0"/>
          <w:color w:val="000000"/>
          <w:highlight w:val="none"/>
        </w:rPr>
        <w:br w:type="page" w:clear="all"/>
      </w:r>
      <w:bookmarkStart w:id="88" w:name="_Toc13394"/>
      <w:r/>
      <w:bookmarkStart w:id="89" w:name="_Toc22620"/>
      <w:r/>
      <w:bookmarkStart w:id="90" w:name="_Toc19241"/>
      <w:r/>
      <w:bookmarkStart w:id="91" w:name="_Toc19691"/>
      <w:r/>
      <w:bookmarkStart w:id="92" w:name="_Toc19182"/>
      <w:r/>
      <w:bookmarkStart w:id="93" w:name="_Toc91061195"/>
      <w:r>
        <w:rPr>
          <w:rFonts w:hint="eastAsia" w:ascii="宋体" w:hAnsi="宋体" w:cs="微软雅黑"/>
          <w:bCs w:val="0"/>
          <w:color w:val="000000"/>
          <w:sz w:val="21"/>
          <w:szCs w:val="21"/>
          <w:highlight w:val="none"/>
        </w:rPr>
        <w:t xml:space="preserve">中小微企业划型标准</w:t>
      </w:r>
      <w:bookmarkEnd w:id="88"/>
      <w:r/>
      <w:bookmarkEnd w:id="89"/>
      <w:r/>
      <w:bookmarkEnd w:id="90"/>
      <w:r/>
      <w:bookmarkEnd w:id="91"/>
      <w:r/>
      <w:bookmarkEnd w:id="92"/>
      <w:r/>
      <w:bookmarkEnd w:id="93"/>
      <w:r>
        <w:rPr>
          <w:rFonts w:ascii="宋体" w:hAnsi="宋体"/>
          <w:color w:val="000000"/>
          <w:sz w:val="21"/>
          <w:szCs w:val="21"/>
          <w:highlight w:val="none"/>
        </w:rPr>
      </w:r>
      <w:r/>
    </w:p>
    <w:p>
      <w:pPr>
        <w:pStyle w:val="998"/>
        <w:pageBreakBefore w:val="0"/>
        <w:spacing w:before="0" w:beforeAutospacing="0" w:after="452" w:line="300" w:lineRule="exact"/>
        <w:widowControl/>
        <w:rPr>
          <w:rStyle w:val="1002"/>
          <w:rFonts w:hint="eastAsia" w:ascii="宋体" w:hAnsi="宋体" w:cs="仿宋"/>
          <w:color w:val="000000"/>
          <w:sz w:val="21"/>
          <w:szCs w:val="21"/>
          <w:highlight w:val="none"/>
        </w:rPr>
      </w:pPr>
      <w:r>
        <w:rPr>
          <w:rStyle w:val="1002"/>
          <w:rFonts w:hint="eastAsia" w:ascii="宋体" w:hAnsi="宋体" w:cs="仿宋"/>
          <w:color w:val="000000"/>
          <w:sz w:val="21"/>
          <w:szCs w:val="21"/>
          <w:highlight w:val="none"/>
        </w:rPr>
        <w:t xml:space="preserve">中小微企业划型标准如下：</w:t>
      </w:r>
      <w:r>
        <w:rPr>
          <w:rStyle w:val="1002"/>
          <w:rFonts w:hint="eastAsia" w:ascii="宋体" w:hAnsi="宋体" w:cs="仿宋"/>
          <w:color w:val="000000"/>
          <w:sz w:val="21"/>
          <w:szCs w:val="21"/>
          <w:highlight w:val="none"/>
        </w:rPr>
      </w:r>
      <w:r/>
    </w:p>
    <w:tbl>
      <w:tblPr>
        <w:tblW w:w="9210" w:type="dxa"/>
        <w:jc w:val="center"/>
        <w:tblCellSpacing w:w="1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48"/>
        <w:gridCol w:w="1588"/>
        <w:gridCol w:w="937"/>
        <w:gridCol w:w="1916"/>
        <w:gridCol w:w="1822"/>
        <w:gridCol w:w="1099"/>
      </w:tblGrid>
      <w:tr>
        <w:trPr>
          <w:tblCellSpacing w:w="15" w:type="dxa"/>
          <w:trHeight w:val="285"/>
        </w:trPr>
        <w:tc>
          <w:tcPr>
            <w:tcW w:w="1803" w:type="dxa"/>
            <w:vAlign w:val="center"/>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行业名称</w:t>
            </w:r>
            <w:r>
              <w:rPr>
                <w:rFonts w:ascii="宋体" w:hAnsi="宋体"/>
                <w:sz w:val="21"/>
                <w:highlight w:val="none"/>
              </w:rPr>
            </w:r>
            <w:r/>
          </w:p>
        </w:tc>
        <w:tc>
          <w:tcPr>
            <w:tcW w:w="1558" w:type="dxa"/>
            <w:vAlign w:val="center"/>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指标名称</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计量单位</w:t>
            </w:r>
            <w:r>
              <w:rPr>
                <w:rFonts w:ascii="宋体" w:hAnsi="宋体"/>
                <w:sz w:val="21"/>
                <w:highlight w:val="none"/>
              </w:rPr>
            </w:r>
            <w:r/>
          </w:p>
        </w:tc>
        <w:tc>
          <w:tcPr>
            <w:tcW w:w="1886" w:type="dxa"/>
            <w:vAlign w:val="center"/>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中型</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小型</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微型</w:t>
            </w:r>
            <w:r>
              <w:rPr>
                <w:rFonts w:ascii="宋体" w:hAnsi="宋体"/>
                <w:sz w:val="21"/>
                <w:highlight w:val="none"/>
              </w:rPr>
            </w:r>
            <w:r/>
          </w:p>
        </w:tc>
      </w:tr>
      <w:tr>
        <w:trPr>
          <w:tblCellSpacing w:w="15" w:type="dxa"/>
          <w:trHeight w:val="225"/>
        </w:trPr>
        <w:tc>
          <w:tcPr>
            <w:tcW w:w="1803" w:type="dxa"/>
            <w:vAlign w:val="center"/>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农、林、牧、渔</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营业收入（</w:t>
            </w: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500≤Y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50≤Y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500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50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工业</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从业人员（</w:t>
            </w: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300≤X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20≤X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73"/>
              <w:rPr>
                <w:rFonts w:ascii="宋体" w:hAnsi="宋体"/>
                <w:highlight w:val="none"/>
              </w:rPr>
            </w:pPr>
            <w:r>
              <w:rPr>
                <w:rFonts w:ascii="宋体" w:hAnsi="宋体"/>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营业收入（</w:t>
            </w: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2000≤Y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40000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300≤Y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建筑业</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营业收入（</w:t>
            </w: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6000≤Y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80000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300≤Y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6000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73"/>
              <w:rPr>
                <w:rFonts w:ascii="宋体" w:hAnsi="宋体"/>
                <w:highlight w:val="none"/>
              </w:rPr>
            </w:pPr>
            <w:r>
              <w:rPr>
                <w:rFonts w:ascii="宋体" w:hAnsi="宋体"/>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资产总额（</w:t>
            </w:r>
            <w:r>
              <w:rPr>
                <w:rStyle w:val="1015"/>
                <w:rFonts w:hint="eastAsia" w:ascii="宋体" w:hAnsi="宋体" w:cs="仿宋"/>
                <w:sz w:val="21"/>
                <w:highlight w:val="none"/>
              </w:rPr>
              <w:t xml:space="preserve">Z</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5000≤Z</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80000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300≤Z</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Z</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批发业</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从业人员（</w:t>
            </w: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20≤X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5≤X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5</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73"/>
              <w:rPr>
                <w:rFonts w:ascii="宋体" w:hAnsi="宋体"/>
                <w:highlight w:val="none"/>
              </w:rPr>
            </w:pPr>
            <w:r>
              <w:rPr>
                <w:rFonts w:ascii="宋体" w:hAnsi="宋体"/>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营业收入（</w:t>
            </w: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5000≤Y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40000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零售业</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从业人员（</w:t>
            </w: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50≤X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50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73"/>
              <w:rPr>
                <w:rFonts w:ascii="宋体" w:hAnsi="宋体"/>
                <w:highlight w:val="none"/>
              </w:rPr>
            </w:pPr>
            <w:r>
              <w:rPr>
                <w:rFonts w:ascii="宋体" w:hAnsi="宋体"/>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营业收入（</w:t>
            </w: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500≤Y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500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交通运输业</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从业人员（</w:t>
            </w: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300≤X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20≤X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73"/>
              <w:rPr>
                <w:rFonts w:ascii="宋体" w:hAnsi="宋体"/>
                <w:highlight w:val="none"/>
              </w:rPr>
            </w:pPr>
            <w:r>
              <w:rPr>
                <w:rFonts w:ascii="宋体" w:hAnsi="宋体"/>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营业收入（</w:t>
            </w: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3000≤Y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200≤Y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仓储业</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从业人员（</w:t>
            </w: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100≤X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20≤X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73"/>
              <w:rPr>
                <w:rFonts w:ascii="宋体" w:hAnsi="宋体"/>
                <w:highlight w:val="none"/>
              </w:rPr>
            </w:pPr>
            <w:r>
              <w:rPr>
                <w:rFonts w:ascii="宋体" w:hAnsi="宋体"/>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营业收入（</w:t>
            </w: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1000≤Y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邮政业</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从业人员（</w:t>
            </w: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300≤X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20≤X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73"/>
              <w:rPr>
                <w:rFonts w:ascii="宋体" w:hAnsi="宋体"/>
                <w:highlight w:val="none"/>
              </w:rPr>
            </w:pPr>
            <w:r>
              <w:rPr>
                <w:rFonts w:ascii="宋体" w:hAnsi="宋体"/>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营业收入（</w:t>
            </w: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2000≤Y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住宿业</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从业人员（</w:t>
            </w: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100≤X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73"/>
              <w:rPr>
                <w:rFonts w:ascii="宋体" w:hAnsi="宋体"/>
                <w:highlight w:val="none"/>
              </w:rPr>
            </w:pPr>
            <w:r>
              <w:rPr>
                <w:rFonts w:ascii="宋体" w:hAnsi="宋体"/>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营业收入（</w:t>
            </w: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2000≤Y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餐饮业</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从业人员（</w:t>
            </w: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100≤X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73"/>
              <w:rPr>
                <w:rFonts w:ascii="宋体" w:hAnsi="宋体"/>
                <w:highlight w:val="none"/>
              </w:rPr>
            </w:pPr>
            <w:r>
              <w:rPr>
                <w:rFonts w:ascii="宋体" w:hAnsi="宋体"/>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营业收入（</w:t>
            </w: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2000≤Y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信息传输业</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从业人员（</w:t>
            </w: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100≤X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73"/>
              <w:rPr>
                <w:rFonts w:ascii="宋体" w:hAnsi="宋体"/>
                <w:highlight w:val="none"/>
              </w:rPr>
            </w:pPr>
            <w:r>
              <w:rPr>
                <w:rFonts w:ascii="宋体" w:hAnsi="宋体"/>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营业收入（</w:t>
            </w: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1000≤Y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软件和信息技术服务业</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从业人员（</w:t>
            </w: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100≤X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73"/>
              <w:rPr>
                <w:rFonts w:ascii="宋体" w:hAnsi="宋体"/>
                <w:highlight w:val="none"/>
              </w:rPr>
            </w:pPr>
            <w:r>
              <w:rPr>
                <w:rFonts w:ascii="宋体" w:hAnsi="宋体"/>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营业收入（</w:t>
            </w: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1000≤Y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50≤Y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50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房地产开发经营</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营业收入（</w:t>
            </w: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1000≤Y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73"/>
              <w:rPr>
                <w:rFonts w:ascii="宋体" w:hAnsi="宋体"/>
                <w:highlight w:val="none"/>
              </w:rPr>
            </w:pPr>
            <w:r>
              <w:rPr>
                <w:rFonts w:ascii="宋体" w:hAnsi="宋体"/>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资产总额（</w:t>
            </w:r>
            <w:r>
              <w:rPr>
                <w:rStyle w:val="1015"/>
                <w:rFonts w:hint="eastAsia" w:ascii="宋体" w:hAnsi="宋体" w:cs="仿宋"/>
                <w:sz w:val="21"/>
                <w:highlight w:val="none"/>
              </w:rPr>
              <w:t xml:space="preserve">Z</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5000≤Z</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2000≤Y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2000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物业管理</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从业人员（</w:t>
            </w: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300≤X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73"/>
              <w:rPr>
                <w:rFonts w:ascii="宋体" w:hAnsi="宋体"/>
                <w:highlight w:val="none"/>
              </w:rPr>
            </w:pPr>
            <w:r>
              <w:rPr>
                <w:rFonts w:ascii="宋体" w:hAnsi="宋体"/>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营业收入（</w:t>
            </w: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1000≤Y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5000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500≤Y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500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租赁和商务服务业</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从业人员（</w:t>
            </w: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100≤X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73"/>
              <w:rPr>
                <w:rFonts w:ascii="宋体" w:hAnsi="宋体"/>
                <w:highlight w:val="none"/>
              </w:rPr>
            </w:pPr>
            <w:r>
              <w:rPr>
                <w:rFonts w:ascii="宋体" w:hAnsi="宋体"/>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资产总额（</w:t>
            </w:r>
            <w:r>
              <w:rPr>
                <w:rStyle w:val="1015"/>
                <w:rFonts w:hint="eastAsia" w:ascii="宋体" w:hAnsi="宋体" w:cs="仿宋"/>
                <w:sz w:val="21"/>
                <w:highlight w:val="none"/>
              </w:rPr>
              <w:t xml:space="preserve">Z</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8000≤Z</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120000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100≤Z</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8000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Y</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textDirection w:val="lrTb"/>
            <w:noWrap w:val="false"/>
          </w:tcPr>
          <w:p>
            <w:pPr>
              <w:pStyle w:val="1050"/>
              <w:jc w:val="center"/>
              <w:rPr>
                <w:rFonts w:ascii="宋体" w:hAnsi="宋体"/>
                <w:sz w:val="21"/>
                <w:highlight w:val="none"/>
              </w:rPr>
            </w:pPr>
            <w:r>
              <w:rPr>
                <w:rStyle w:val="1015"/>
                <w:rFonts w:hint="eastAsia" w:ascii="宋体" w:hAnsi="宋体" w:cs="宋体"/>
                <w:sz w:val="21"/>
                <w:highlight w:val="none"/>
              </w:rPr>
              <w:t xml:space="preserve">其他未列明行业</w:t>
            </w:r>
            <w:r>
              <w:rPr>
                <w:rFonts w:ascii="宋体" w:hAnsi="宋体"/>
                <w:sz w:val="21"/>
                <w:highlight w:val="none"/>
              </w:rPr>
            </w:r>
            <w:r/>
          </w:p>
        </w:tc>
        <w:tc>
          <w:tcPr>
            <w:tcW w:w="1558"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从业人员（</w:t>
            </w: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50"/>
              <w:rPr>
                <w:rFonts w:ascii="宋体" w:hAnsi="宋体"/>
                <w:sz w:val="21"/>
                <w:highlight w:val="none"/>
              </w:rPr>
            </w:pPr>
            <w:r>
              <w:rPr>
                <w:rStyle w:val="1015"/>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100≤X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50"/>
              <w:jc w:val="center"/>
              <w:rPr>
                <w:rFonts w:ascii="宋体" w:hAnsi="宋体"/>
                <w:sz w:val="21"/>
                <w:highlight w:val="none"/>
              </w:rPr>
            </w:pPr>
            <w:r>
              <w:rPr>
                <w:rStyle w:val="1015"/>
                <w:rFonts w:hint="eastAsia" w:ascii="宋体" w:hAnsi="宋体" w:cs="仿宋"/>
                <w:sz w:val="21"/>
                <w:highlight w:val="none"/>
              </w:rPr>
              <w:t xml:space="preserve">10≤X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50"/>
              <w:rPr>
                <w:rFonts w:ascii="宋体" w:hAnsi="宋体"/>
                <w:sz w:val="21"/>
                <w:highlight w:val="none"/>
              </w:rPr>
            </w:pPr>
            <w:r>
              <w:rPr>
                <w:rStyle w:val="1015"/>
                <w:rFonts w:hint="eastAsia" w:ascii="宋体" w:hAnsi="宋体" w:cs="仿宋"/>
                <w:sz w:val="21"/>
                <w:highlight w:val="none"/>
              </w:rPr>
              <w:t xml:space="preserve">X</w:t>
            </w:r>
            <w:r>
              <w:rPr>
                <w:rStyle w:val="1015"/>
                <w:rFonts w:hint="eastAsia" w:ascii="宋体" w:hAnsi="宋体" w:cs="宋体"/>
                <w:sz w:val="21"/>
                <w:highlight w:val="none"/>
              </w:rPr>
              <w:t xml:space="preserve">＜</w:t>
            </w:r>
            <w:r>
              <w:rPr>
                <w:rStyle w:val="1015"/>
                <w:rFonts w:hint="eastAsia" w:ascii="宋体" w:hAnsi="宋体" w:cs="仿宋"/>
                <w:sz w:val="21"/>
                <w:highlight w:val="none"/>
              </w:rPr>
              <w:t xml:space="preserve">10</w:t>
            </w:r>
            <w:r>
              <w:rPr>
                <w:rFonts w:ascii="宋体" w:hAnsi="宋体"/>
                <w:sz w:val="21"/>
                <w:highlight w:val="none"/>
              </w:rPr>
            </w:r>
            <w:r/>
          </w:p>
        </w:tc>
      </w:tr>
    </w:tbl>
    <w:p>
      <w:pPr>
        <w:pStyle w:val="973"/>
        <w:keepLines w:val="0"/>
        <w:keepNext w:val="0"/>
        <w:pageBreakBefore w:val="0"/>
        <w:spacing w:line="240" w:lineRule="auto"/>
        <w:widowControl w:val="off"/>
        <w:rPr>
          <w:rStyle w:val="1002"/>
          <w:rFonts w:hint="eastAsia" w:ascii="宋体" w:hAnsi="宋体" w:cs="仿宋"/>
          <w:color w:val="000000"/>
          <w:sz w:val="21"/>
          <w:szCs w:val="21"/>
          <w:highlight w:val="none"/>
        </w:rPr>
      </w:pPr>
      <w:r>
        <w:rPr>
          <w:rStyle w:val="1002"/>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02"/>
          <w:rFonts w:hint="eastAsia" w:ascii="宋体" w:hAnsi="宋体" w:cs="仿宋"/>
          <w:color w:val="000000"/>
          <w:sz w:val="21"/>
          <w:szCs w:val="21"/>
          <w:highlight w:val="none"/>
        </w:rPr>
      </w:r>
      <w:r/>
    </w:p>
    <w:p>
      <w:pPr>
        <w:pStyle w:val="973"/>
        <w:jc w:val="left"/>
        <w:keepLines w:val="0"/>
        <w:keepNext w:val="0"/>
        <w:pageBreakBefore w:val="0"/>
        <w:spacing w:line="360" w:lineRule="auto"/>
        <w:widowControl w:val="off"/>
        <w:rPr>
          <w:rFonts w:hint="eastAsia" w:ascii="黑体" w:hAnsi="黑体" w:eastAsia="黑体"/>
          <w:b/>
          <w:sz w:val="32"/>
          <w:szCs w:val="32"/>
          <w:highlight w:val="none"/>
        </w:rPr>
      </w:pPr>
      <w:r>
        <w:rPr>
          <w:rStyle w:val="1002"/>
          <w:rFonts w:hint="eastAsia" w:ascii="宋体" w:hAnsi="宋体" w:cs="仿宋"/>
          <w:color w:val="000000"/>
          <w:sz w:val="21"/>
          <w:szCs w:val="21"/>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、残疾人福利性单位声明函</w:t>
      </w:r>
      <w:r>
        <w:rPr>
          <w:rFonts w:hint="eastAsia" w:ascii="宋体" w:hAnsi="宋体" w:cs="宋体"/>
          <w:b/>
          <w:bCs/>
          <w:sz w:val="24"/>
          <w:szCs w:val="24"/>
          <w:highlight w:val="none"/>
        </w:rPr>
        <w:t xml:space="preserve">（如适用）</w:t>
      </w:r>
      <w:r>
        <w:rPr>
          <w:rFonts w:hint="eastAsia" w:ascii="黑体" w:hAnsi="黑体" w:eastAsia="黑体"/>
          <w:b/>
          <w:sz w:val="32"/>
          <w:szCs w:val="32"/>
          <w:highlight w:val="none"/>
        </w:rPr>
      </w:r>
      <w:r/>
    </w:p>
    <w:p>
      <w:pPr>
        <w:pStyle w:val="973"/>
        <w:ind w:firstLine="420"/>
        <w:keepLines w:val="0"/>
        <w:keepNext w:val="0"/>
        <w:pageBreakBefore w:val="0"/>
        <w:spacing w:before="161" w:line="360" w:lineRule="auto"/>
        <w:widowControl w:val="off"/>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项目（分包号：**）采购活动由本单位提供服务。</w:t>
      </w:r>
      <w:r>
        <w:rPr>
          <w:rFonts w:hint="eastAsia" w:ascii="宋体" w:hAnsi="宋体"/>
          <w:sz w:val="21"/>
          <w:szCs w:val="21"/>
          <w:highlight w:val="none"/>
        </w:rPr>
      </w:r>
      <w:r/>
    </w:p>
    <w:p>
      <w:pPr>
        <w:pStyle w:val="973"/>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rPr>
          <w:rFonts w:ascii="宋体" w:hAnsi="宋体"/>
          <w:sz w:val="21"/>
          <w:szCs w:val="21"/>
          <w:highlight w:val="none"/>
        </w:rPr>
      </w:r>
      <w:r/>
    </w:p>
    <w:p>
      <w:pPr>
        <w:pStyle w:val="97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73"/>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color w:val="000000"/>
          <w:sz w:val="21"/>
          <w:szCs w:val="21"/>
          <w:highlight w:val="none"/>
        </w:rPr>
        <w:t xml:space="preserve">备注：</w:t>
      </w:r>
      <w:r>
        <w:rPr>
          <w:rFonts w:hint="eastAsia" w:ascii="宋体" w:hAnsi="宋体"/>
          <w:sz w:val="21"/>
          <w:szCs w:val="21"/>
          <w:highlight w:val="none"/>
        </w:rPr>
        <w:t xml:space="preserve">中标人为残疾人福利单位的，此声明函将随中标结果同时公告，接受社会监督）</w:t>
      </w:r>
      <w:r>
        <w:rPr>
          <w:rFonts w:ascii="宋体" w:hAnsi="宋体"/>
          <w:sz w:val="21"/>
          <w:szCs w:val="21"/>
          <w:highlight w:val="none"/>
        </w:rPr>
      </w:r>
      <w:r/>
    </w:p>
    <w:p>
      <w:pPr>
        <w:pStyle w:val="973"/>
        <w:ind w:firstLine="444"/>
        <w:pageBreakBefore w:val="0"/>
        <w:spacing w:line="360" w:lineRule="auto"/>
        <w:rPr>
          <w:rFonts w:ascii="仿宋_GB2312" w:eastAsia="仿宋_GB2312"/>
          <w:spacing w:val="6"/>
          <w:sz w:val="21"/>
          <w:szCs w:val="21"/>
          <w:highlight w:val="none"/>
        </w:rPr>
      </w:pPr>
      <w:r>
        <w:rPr>
          <w:rFonts w:ascii="仿宋_GB2312" w:eastAsia="仿宋_GB2312"/>
          <w:spacing w:val="6"/>
          <w:sz w:val="21"/>
          <w:szCs w:val="21"/>
          <w:highlight w:val="none"/>
        </w:rPr>
      </w:r>
      <w:r/>
    </w:p>
    <w:p>
      <w:pPr>
        <w:pStyle w:val="973"/>
        <w:ind w:right="1560" w:firstLine="444"/>
        <w:jc w:val="center"/>
        <w:pageBreakBefore w:val="0"/>
        <w:spacing w:line="360" w:lineRule="auto"/>
        <w:tabs>
          <w:tab w:val="left" w:pos="4860" w:leader="none"/>
        </w:tabs>
        <w:rPr>
          <w:rFonts w:ascii="宋体" w:hAnsi="宋体"/>
          <w:sz w:val="21"/>
          <w:szCs w:val="21"/>
          <w:highlight w:val="none"/>
        </w:rPr>
      </w:pPr>
      <w:r>
        <w:rPr>
          <w:rFonts w:hint="eastAsia" w:ascii="仿宋_GB2312" w:eastAsia="仿宋_GB2312"/>
          <w:spacing w:val="6"/>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供应商全称（加盖CA电子公章）：</w:t>
      </w:r>
      <w:r>
        <w:rPr>
          <w:rFonts w:ascii="宋体" w:hAnsi="宋体"/>
          <w:sz w:val="21"/>
          <w:szCs w:val="21"/>
          <w:highlight w:val="none"/>
        </w:rPr>
      </w:r>
      <w:r/>
    </w:p>
    <w:p>
      <w:pPr>
        <w:pStyle w:val="973"/>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  期：</w:t>
      </w:r>
      <w:r>
        <w:rPr>
          <w:rFonts w:hint="eastAsia" w:ascii="宋体" w:hAnsi="宋体"/>
          <w:sz w:val="21"/>
          <w:szCs w:val="21"/>
          <w:highlight w:val="none"/>
        </w:rPr>
      </w:r>
      <w:r/>
    </w:p>
    <w:p>
      <w:pPr>
        <w:pStyle w:val="973"/>
        <w:jc w:val="left"/>
        <w:pageBreakBefore w:val="0"/>
        <w:spacing w:line="360" w:lineRule="auto"/>
        <w:rPr>
          <w:rFonts w:hint="eastAsia" w:ascii="宋体" w:hAnsi="宋体" w:eastAsia="宋体" w:cs="宋体"/>
          <w:sz w:val="32"/>
          <w:szCs w:val="32"/>
          <w:highlight w:val="none"/>
        </w:rPr>
      </w:pPr>
      <w:r>
        <w:rPr>
          <w:rFonts w:hint="eastAsia" w:ascii="宋体" w:hAnsi="宋体"/>
          <w:sz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、联合体协议（参考格式）</w:t>
      </w:r>
      <w:r>
        <w:rPr>
          <w:rFonts w:hint="eastAsia" w:ascii="宋体" w:hAnsi="宋体" w:eastAsia="宋体" w:cs="宋体"/>
          <w:sz w:val="32"/>
          <w:szCs w:val="32"/>
          <w:highlight w:val="none"/>
        </w:rPr>
      </w:r>
      <w:r/>
    </w:p>
    <w:p>
      <w:pPr>
        <w:pStyle w:val="973"/>
        <w:keepLines w:val="0"/>
        <w:keepNext w:val="0"/>
        <w:pageBreakBefore w:val="0"/>
        <w:spacing w:before="161" w:line="360" w:lineRule="auto"/>
        <w:widowControl w:val="off"/>
        <w:rPr>
          <w:rFonts w:ascii="宋体" w:hAnsi="宋体"/>
          <w:sz w:val="21"/>
          <w:szCs w:val="21"/>
          <w:highlight w:val="none"/>
        </w:rPr>
      </w:pPr>
      <w:r>
        <w:rPr>
          <w:rFonts w:hint="eastAsia" w:ascii="宋体" w:hAnsi="宋体"/>
          <w:sz w:val="21"/>
          <w:szCs w:val="21"/>
          <w:highlight w:val="none"/>
        </w:rPr>
        <w:t xml:space="preserve">（联合体中各供应商全称）在此达成以下协议：</w:t>
      </w:r>
      <w:r>
        <w:rPr>
          <w:rFonts w:ascii="宋体" w:hAnsi="宋体"/>
          <w:sz w:val="21"/>
          <w:szCs w:val="21"/>
          <w:highlight w:val="none"/>
        </w:rPr>
      </w:r>
      <w:r/>
    </w:p>
    <w:p>
      <w:pPr>
        <w:pStyle w:val="973"/>
        <w:ind w:firstLine="645"/>
        <w:pageBreakBefore w:val="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、我们</w:t>
      </w:r>
      <w:r>
        <w:rPr>
          <w:rFonts w:hint="eastAsia" w:ascii="宋体" w:hAnsi="宋体"/>
          <w:sz w:val="21"/>
          <w:szCs w:val="21"/>
          <w:highlight w:val="none"/>
          <w:u w:val="single"/>
        </w:rPr>
        <w:t xml:space="preserve"> （供应商1），（供应商2） ，</w:t>
      </w:r>
      <w:r>
        <w:rPr>
          <w:rFonts w:ascii="宋体" w:hAnsi="宋体"/>
          <w:sz w:val="21"/>
          <w:szCs w:val="21"/>
          <w:highlight w:val="none"/>
          <w:u w:val="single"/>
        </w:rPr>
        <w:t xml:space="preserve">……</w:t>
      </w:r>
      <w:r>
        <w:rPr>
          <w:rFonts w:hint="eastAsia" w:ascii="宋体" w:hAnsi="宋体"/>
          <w:sz w:val="21"/>
          <w:szCs w:val="21"/>
          <w:highlight w:val="none"/>
        </w:rPr>
        <w:t xml:space="preserve">自愿组成联合体，参加</w:t>
      </w:r>
      <w:r>
        <w:rPr>
          <w:rFonts w:hint="eastAsia" w:ascii="宋体" w:hAnsi="宋体"/>
          <w:sz w:val="21"/>
          <w:szCs w:val="21"/>
          <w:highlight w:val="none"/>
          <w:lang w:val="en-US" w:eastAsia="zh-CN"/>
        </w:rPr>
        <w:t xml:space="preserve"> </w:t>
      </w:r>
      <w:r>
        <w:rPr>
          <w:rFonts w:hint="eastAsia" w:ascii="宋体" w:hAnsi="宋体"/>
          <w:sz w:val="21"/>
          <w:szCs w:val="21"/>
          <w:highlight w:val="none"/>
          <w:u w:val="single"/>
          <w:lang w:val="en-US" w:eastAsia="zh-CN"/>
        </w:rPr>
        <w:t xml:space="preserve">          （代理公司）</w:t>
      </w:r>
      <w:r>
        <w:rPr>
          <w:rFonts w:hint="eastAsia" w:ascii="宋体" w:hAnsi="宋体"/>
          <w:sz w:val="21"/>
          <w:szCs w:val="21"/>
          <w:highlight w:val="none"/>
        </w:rPr>
        <w:t xml:space="preserve">组织的采购编号为</w:t>
      </w:r>
      <w:r>
        <w:rPr>
          <w:rFonts w:hint="eastAsia" w:ascii="宋体" w:hAnsi="宋体"/>
          <w:sz w:val="21"/>
          <w:szCs w:val="21"/>
          <w:highlight w:val="none"/>
          <w:u w:val="single"/>
        </w:rPr>
        <w:t xml:space="preserve">（编号全称），（项目全称）</w:t>
      </w:r>
      <w:r>
        <w:rPr>
          <w:rFonts w:hint="eastAsia" w:ascii="宋体" w:hAnsi="宋体"/>
          <w:sz w:val="21"/>
          <w:szCs w:val="21"/>
          <w:highlight w:val="none"/>
        </w:rPr>
        <w:t xml:space="preserve">项目（分包号：**）的政府采购活动，我联合体指定</w:t>
      </w:r>
      <w:r>
        <w:rPr>
          <w:rFonts w:hint="eastAsia" w:ascii="宋体" w:hAnsi="宋体"/>
          <w:sz w:val="21"/>
          <w:szCs w:val="21"/>
          <w:highlight w:val="none"/>
          <w:u w:val="single"/>
        </w:rPr>
        <w:t xml:space="preserve">（供应商*）</w:t>
      </w:r>
      <w:r>
        <w:rPr>
          <w:rFonts w:hint="eastAsia" w:ascii="宋体" w:hAnsi="宋体"/>
          <w:sz w:val="21"/>
          <w:szCs w:val="21"/>
          <w:highlight w:val="none"/>
        </w:rPr>
        <w:t xml:space="preserve">为牵头单位（牵头单位必须为联合体成员）。</w:t>
      </w:r>
      <w:r>
        <w:rPr>
          <w:rFonts w:ascii="宋体" w:hAnsi="宋体"/>
          <w:sz w:val="21"/>
          <w:szCs w:val="21"/>
          <w:highlight w:val="none"/>
        </w:rPr>
      </w:r>
      <w:r/>
    </w:p>
    <w:p>
      <w:pPr>
        <w:pStyle w:val="973"/>
        <w:ind w:firstLine="645"/>
        <w:pageBreakBefore w:val="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、若我们联合中标、成交，（供应商单位</w:t>
      </w:r>
      <w:r>
        <w:rPr>
          <w:rFonts w:ascii="宋体" w:hAnsi="宋体"/>
          <w:sz w:val="21"/>
          <w:szCs w:val="21"/>
          <w:highlight w:val="none"/>
        </w:rPr>
        <w:t xml:space="preserve">1</w:t>
      </w:r>
      <w:r>
        <w:rPr>
          <w:rFonts w:hint="eastAsia" w:ascii="宋体" w:hAnsi="宋体"/>
          <w:sz w:val="21"/>
          <w:szCs w:val="21"/>
          <w:highlight w:val="none"/>
        </w:rPr>
        <w:t xml:space="preserve">全称）实施项目中（工作内容）部分工作，并承担相应的责任。（供应商单位</w:t>
      </w:r>
      <w:r>
        <w:rPr>
          <w:rFonts w:ascii="宋体" w:hAnsi="宋体"/>
          <w:sz w:val="21"/>
          <w:szCs w:val="21"/>
          <w:highlight w:val="none"/>
        </w:rPr>
        <w:t xml:space="preserve">2</w:t>
      </w:r>
      <w:r>
        <w:rPr>
          <w:rFonts w:hint="eastAsia" w:ascii="宋体" w:hAnsi="宋体"/>
          <w:sz w:val="21"/>
          <w:szCs w:val="21"/>
          <w:highlight w:val="none"/>
        </w:rPr>
        <w:t xml:space="preserve">全称）实施项目中（工作内容）部分工作，并承担相应的责任……。（注：联合体中各供应商都应明示所承担的工作和相应的责任）。</w:t>
      </w:r>
      <w:r>
        <w:rPr>
          <w:rFonts w:ascii="宋体" w:hAnsi="宋体"/>
          <w:sz w:val="21"/>
          <w:szCs w:val="21"/>
          <w:highlight w:val="none"/>
        </w:rPr>
      </w:r>
      <w:r/>
    </w:p>
    <w:p>
      <w:pPr>
        <w:pStyle w:val="973"/>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、其中</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（小型、微型企业/残疾人福利性单位/监狱企业全称）为</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（小型、微型企业/残疾人福利性单位/监狱企业）企业，且我们约定该公司/单位所承担的合同金额将占本项目合同总金额的</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w:t>
      </w:r>
      <w:r>
        <w:rPr>
          <w:rFonts w:hint="eastAsia" w:ascii="宋体" w:hAnsi="宋体"/>
          <w:sz w:val="21"/>
          <w:szCs w:val="21"/>
          <w:highlight w:val="none"/>
        </w:rPr>
      </w:r>
      <w:r/>
    </w:p>
    <w:p>
      <w:pPr>
        <w:pStyle w:val="973"/>
        <w:ind w:firstLine="645"/>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73"/>
        <w:ind w:firstLine="645"/>
        <w:pageBreakBefore w:val="0"/>
        <w:spacing w:line="360" w:lineRule="auto"/>
        <w:rPr>
          <w:rFonts w:ascii="宋体" w:hAnsi="宋体"/>
          <w:sz w:val="21"/>
          <w:szCs w:val="21"/>
          <w:highlight w:val="none"/>
        </w:rPr>
      </w:pPr>
      <w:r>
        <w:rPr>
          <w:rFonts w:hint="eastAsia" w:ascii="宋体" w:hAnsi="宋体"/>
          <w:sz w:val="21"/>
          <w:szCs w:val="21"/>
          <w:highlight w:val="none"/>
        </w:rPr>
        <w:t xml:space="preserve">备注：本招标文件中要求加盖CA电子签章的地方，仅需加盖牵头单位的CA电子签章。</w:t>
      </w:r>
      <w:r>
        <w:rPr>
          <w:rFonts w:ascii="宋体" w:hAnsi="宋体"/>
          <w:sz w:val="21"/>
          <w:szCs w:val="21"/>
          <w:highlight w:val="none"/>
        </w:rPr>
      </w:r>
      <w:r/>
    </w:p>
    <w:p>
      <w:pPr>
        <w:pStyle w:val="973"/>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rPr>
      </w:r>
      <w:r/>
    </w:p>
    <w:p>
      <w:pPr>
        <w:pStyle w:val="973"/>
        <w:ind w:firstLine="645"/>
        <w:jc w:val="right"/>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73"/>
        <w:ind w:firstLine="645"/>
        <w:jc w:val="center"/>
        <w:pageBreakBefore w:val="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联合体中各供应商全称（公章）：</w:t>
      </w:r>
      <w:r>
        <w:rPr>
          <w:rFonts w:ascii="宋体" w:hAnsi="宋体"/>
          <w:sz w:val="21"/>
          <w:szCs w:val="21"/>
          <w:highlight w:val="none"/>
        </w:rPr>
        <w:t xml:space="preserve">     </w:t>
      </w:r>
      <w:r>
        <w:rPr>
          <w:rFonts w:ascii="宋体" w:hAnsi="宋体"/>
          <w:sz w:val="21"/>
          <w:szCs w:val="21"/>
          <w:highlight w:val="none"/>
        </w:rPr>
      </w:r>
      <w:r/>
    </w:p>
    <w:p>
      <w:pPr>
        <w:pStyle w:val="973"/>
        <w:jc w:val="left"/>
        <w:spacing w:line="360" w:lineRule="auto"/>
        <w:rPr>
          <w:rFonts w:hint="eastAsia" w:ascii="宋体" w:hAnsi="宋体"/>
          <w:b/>
          <w:bCs/>
          <w:color w:val="000000"/>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日期：</w:t>
      </w:r>
      <w:r>
        <w:rPr>
          <w:rFonts w:hint="eastAsia" w:ascii="宋体" w:hAnsi="宋体"/>
          <w:b/>
          <w:bCs/>
          <w:color w:val="000000"/>
          <w:sz w:val="21"/>
          <w:szCs w:val="21"/>
          <w:highlight w:val="none"/>
        </w:rPr>
      </w:r>
      <w:r/>
    </w:p>
    <w:p>
      <w:pPr>
        <w:pStyle w:val="973"/>
        <w:jc w:val="left"/>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br w:type="page" w:clear="all"/>
      </w:r>
      <w:r>
        <w:rPr>
          <w:rFonts w:hint="eastAsia" w:ascii="宋体" w:hAnsi="宋体" w:eastAsia="宋体" w:cs="宋体"/>
          <w:b/>
          <w:bCs/>
          <w:sz w:val="24"/>
          <w:szCs w:val="24"/>
          <w:highlight w:val="none"/>
          <w:lang w:val="en-US" w:eastAsia="zh-CN"/>
        </w:rPr>
        <w:t xml:space="preserve">十三、</w:t>
      </w:r>
      <w:r>
        <w:rPr>
          <w:rFonts w:hint="eastAsia" w:ascii="宋体" w:hAnsi="宋体" w:eastAsia="宋体" w:cs="宋体"/>
          <w:b/>
          <w:bCs/>
          <w:sz w:val="24"/>
          <w:szCs w:val="24"/>
          <w:highlight w:val="none"/>
        </w:rPr>
        <w:t xml:space="preserve">符合性审查响应对照表</w:t>
      </w:r>
      <w:r>
        <w:rPr>
          <w:rFonts w:hint="eastAsia" w:ascii="宋体" w:hAnsi="宋体" w:eastAsia="宋体" w:cs="宋体"/>
          <w:b/>
          <w:bCs/>
          <w:sz w:val="24"/>
          <w:szCs w:val="24"/>
          <w:highlight w:val="none"/>
        </w:rPr>
      </w:r>
      <w:r/>
    </w:p>
    <w:p>
      <w:pPr>
        <w:pStyle w:val="973"/>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73"/>
        <w:jc w:val="center"/>
        <w:keepLines w:val="0"/>
        <w:keepNext w:val="0"/>
        <w:pageBreakBefore w:val="0"/>
        <w:spacing w:before="161" w:after="161"/>
        <w:widowControl w:val="off"/>
        <w:rPr>
          <w:rFonts w:hint="eastAsia" w:ascii="宋体" w:hAnsi="宋体"/>
          <w:b/>
          <w:sz w:val="32"/>
          <w:szCs w:val="32"/>
          <w:highlight w:val="none"/>
        </w:rPr>
      </w:pPr>
      <w:r>
        <w:rPr>
          <w:rFonts w:hint="eastAsia" w:ascii="宋体" w:hAnsi="宋体" w:eastAsia="宋体" w:cs="宋体"/>
          <w:b/>
          <w:bCs/>
          <w:sz w:val="24"/>
          <w:szCs w:val="24"/>
          <w:highlight w:val="none"/>
        </w:rPr>
        <w:t xml:space="preserve">符合性审查响应对照表</w:t>
      </w:r>
      <w:r>
        <w:rPr>
          <w:rFonts w:hint="eastAsia" w:ascii="宋体" w:hAnsi="宋体"/>
          <w:b/>
          <w:sz w:val="32"/>
          <w:szCs w:val="32"/>
          <w:highlight w:val="none"/>
        </w:rPr>
      </w:r>
      <w:r/>
    </w:p>
    <w:tbl>
      <w:tblPr>
        <w:tblW w:w="8813" w:type="dxa"/>
        <w:jc w:val="center"/>
        <w:tblInd w:w="-3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4993"/>
        <w:gridCol w:w="1794"/>
        <w:gridCol w:w="1186"/>
      </w:tblGrid>
      <w:tr>
        <w:trPr>
          <w:trHeight w:val="876"/>
        </w:trPr>
        <w:tc>
          <w:tcPr>
            <w:tcW w:w="840" w:type="dxa"/>
            <w:vAlign w:val="center"/>
            <w:textDirection w:val="lrTb"/>
            <w:noWrap w:val="false"/>
          </w:tcPr>
          <w:p>
            <w:pPr>
              <w:pStyle w:val="973"/>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W w:w="4993" w:type="dxa"/>
            <w:vAlign w:val="center"/>
            <w:textDirection w:val="lrTb"/>
            <w:noWrap w:val="false"/>
          </w:tcPr>
          <w:p>
            <w:pPr>
              <w:pStyle w:val="973"/>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符合性审查响应内容</w:t>
            </w:r>
            <w:r>
              <w:rPr>
                <w:rFonts w:hint="eastAsia" w:ascii="宋体" w:hAnsi="宋体" w:eastAsia="宋体" w:cs="宋体"/>
                <w:b/>
                <w:szCs w:val="21"/>
                <w:highlight w:val="none"/>
              </w:rPr>
            </w:r>
            <w:r/>
          </w:p>
        </w:tc>
        <w:tc>
          <w:tcPr>
            <w:tcW w:w="1794" w:type="dxa"/>
            <w:vAlign w:val="center"/>
            <w:textDirection w:val="lrTb"/>
            <w:noWrap w:val="false"/>
          </w:tcPr>
          <w:p>
            <w:pPr>
              <w:pStyle w:val="973"/>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是否响应</w:t>
            </w:r>
            <w:r>
              <w:rPr>
                <w:rFonts w:hint="eastAsia" w:ascii="宋体" w:hAnsi="宋体" w:eastAsia="宋体" w:cs="宋体"/>
                <w:b/>
                <w:szCs w:val="21"/>
                <w:highlight w:val="none"/>
              </w:rPr>
            </w:r>
            <w:r/>
          </w:p>
          <w:p>
            <w:pPr>
              <w:pStyle w:val="973"/>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（填是或者否）</w:t>
            </w:r>
            <w:r>
              <w:rPr>
                <w:rFonts w:hint="eastAsia" w:ascii="宋体" w:hAnsi="宋体" w:eastAsia="宋体" w:cs="宋体"/>
                <w:b/>
                <w:szCs w:val="21"/>
                <w:highlight w:val="none"/>
              </w:rPr>
            </w:r>
            <w:r/>
          </w:p>
        </w:tc>
        <w:tc>
          <w:tcPr>
            <w:tcW w:w="1186" w:type="dxa"/>
            <w:vAlign w:val="center"/>
            <w:textDirection w:val="lrTb"/>
            <w:noWrap w:val="false"/>
          </w:tcPr>
          <w:p>
            <w:pPr>
              <w:pStyle w:val="973"/>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响应情况</w:t>
            </w:r>
            <w:r>
              <w:rPr>
                <w:rFonts w:hint="eastAsia" w:ascii="宋体" w:hAnsi="宋体" w:eastAsia="宋体" w:cs="宋体"/>
                <w:b/>
                <w:szCs w:val="21"/>
                <w:highlight w:val="none"/>
              </w:rPr>
            </w:r>
            <w:r/>
          </w:p>
        </w:tc>
      </w:tr>
      <w:tr>
        <w:trPr>
          <w:trHeight w:val="623"/>
        </w:trPr>
        <w:tc>
          <w:tcPr>
            <w:tcW w:w="840" w:type="dxa"/>
            <w:vAlign w:val="center"/>
            <w:textDirection w:val="lrTb"/>
            <w:noWrap w:val="false"/>
          </w:tcPr>
          <w:p>
            <w:pPr>
              <w:pStyle w:val="973"/>
              <w:jc w:val="center"/>
              <w:rPr>
                <w:rFonts w:ascii="宋体" w:hAnsi="宋体"/>
                <w:b w:val="0"/>
                <w:bCs/>
                <w:szCs w:val="21"/>
                <w:highlight w:val="none"/>
              </w:rPr>
            </w:pPr>
            <w:r>
              <w:rPr>
                <w:rFonts w:hint="eastAsia" w:ascii="宋体" w:hAnsi="宋体"/>
                <w:b w:val="0"/>
                <w:bCs/>
                <w:szCs w:val="21"/>
                <w:highlight w:val="none"/>
              </w:rPr>
              <w:t xml:space="preserve">1</w:t>
            </w:r>
            <w:r>
              <w:rPr>
                <w:rFonts w:ascii="宋体" w:hAnsi="宋体"/>
                <w:b w:val="0"/>
                <w:bCs/>
                <w:szCs w:val="21"/>
                <w:highlight w:val="none"/>
              </w:rPr>
            </w:r>
            <w:r/>
          </w:p>
        </w:tc>
        <w:tc>
          <w:tcPr>
            <w:tcW w:w="4993" w:type="dxa"/>
            <w:vAlign w:val="center"/>
            <w:textDirection w:val="lrTb"/>
            <w:noWrap w:val="false"/>
          </w:tcPr>
          <w:p>
            <w:pPr>
              <w:pStyle w:val="973"/>
              <w:spacing w:line="0" w:lineRule="atLeast"/>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rPr>
                <w:rFonts w:ascii="宋体" w:hAnsi="宋体"/>
                <w:iCs/>
                <w:szCs w:val="21"/>
                <w:highlight w:val="none"/>
              </w:rPr>
            </w:r>
            <w:r/>
          </w:p>
        </w:tc>
        <w:tc>
          <w:tcPr>
            <w:tcW w:w="1794" w:type="dxa"/>
            <w:vAlign w:val="center"/>
            <w:textDirection w:val="lrTb"/>
            <w:noWrap w:val="false"/>
          </w:tcPr>
          <w:p>
            <w:pPr>
              <w:pStyle w:val="973"/>
              <w:rPr>
                <w:rFonts w:ascii="宋体" w:hAnsi="宋体"/>
                <w:b/>
                <w:szCs w:val="21"/>
                <w:highlight w:val="none"/>
              </w:rPr>
            </w:pPr>
            <w:r>
              <w:rPr>
                <w:rFonts w:ascii="宋体" w:hAnsi="宋体"/>
                <w:b/>
                <w:szCs w:val="21"/>
                <w:highlight w:val="none"/>
              </w:rPr>
            </w:r>
            <w:r/>
          </w:p>
        </w:tc>
        <w:tc>
          <w:tcPr>
            <w:tcW w:w="1186" w:type="dxa"/>
            <w:vAlign w:val="center"/>
            <w:textDirection w:val="lrTb"/>
            <w:noWrap w:val="false"/>
          </w:tcPr>
          <w:p>
            <w:pPr>
              <w:pStyle w:val="973"/>
              <w:rPr>
                <w:rFonts w:ascii="宋体" w:hAnsi="宋体"/>
                <w:b/>
                <w:szCs w:val="21"/>
                <w:highlight w:val="none"/>
              </w:rPr>
            </w:pPr>
            <w:r>
              <w:rPr>
                <w:rFonts w:ascii="宋体" w:hAnsi="宋体"/>
                <w:b/>
                <w:szCs w:val="21"/>
                <w:highlight w:val="none"/>
              </w:rPr>
            </w:r>
            <w:r/>
          </w:p>
        </w:tc>
      </w:tr>
      <w:tr>
        <w:trPr>
          <w:trHeight w:val="623"/>
        </w:trPr>
        <w:tc>
          <w:tcPr>
            <w:tcW w:w="840" w:type="dxa"/>
            <w:vAlign w:val="center"/>
            <w:textDirection w:val="lrTb"/>
            <w:noWrap w:val="false"/>
          </w:tcPr>
          <w:p>
            <w:pPr>
              <w:pStyle w:val="973"/>
              <w:jc w:val="center"/>
              <w:rPr>
                <w:rFonts w:ascii="宋体" w:hAnsi="宋体"/>
                <w:b w:val="0"/>
                <w:bCs/>
                <w:szCs w:val="21"/>
                <w:highlight w:val="none"/>
              </w:rPr>
            </w:pPr>
            <w:r>
              <w:rPr>
                <w:rFonts w:hint="eastAsia" w:ascii="宋体" w:hAnsi="宋体"/>
                <w:b w:val="0"/>
                <w:bCs/>
                <w:szCs w:val="21"/>
                <w:highlight w:val="none"/>
              </w:rPr>
              <w:t xml:space="preserve">2</w:t>
            </w:r>
            <w:r>
              <w:rPr>
                <w:rFonts w:ascii="宋体" w:hAnsi="宋体"/>
                <w:b w:val="0"/>
                <w:bCs/>
                <w:szCs w:val="21"/>
                <w:highlight w:val="none"/>
              </w:rPr>
            </w:r>
            <w:r/>
          </w:p>
        </w:tc>
        <w:tc>
          <w:tcPr>
            <w:tcW w:w="4993" w:type="dxa"/>
            <w:vAlign w:val="center"/>
            <w:textDirection w:val="lrTb"/>
            <w:noWrap w:val="false"/>
          </w:tcPr>
          <w:p>
            <w:pPr>
              <w:pStyle w:val="973"/>
              <w:spacing w:line="0" w:lineRule="atLeast"/>
              <w:rPr>
                <w:rFonts w:ascii="宋体" w:hAnsi="宋体"/>
                <w:iCs/>
                <w:szCs w:val="21"/>
                <w:highlight w:val="none"/>
              </w:rPr>
            </w:pPr>
            <w:r>
              <w:rPr>
                <w:rFonts w:ascii="宋体" w:hAnsi="宋体"/>
                <w:iCs/>
                <w:szCs w:val="21"/>
                <w:highlight w:val="none"/>
              </w:rPr>
            </w:r>
            <w:r/>
          </w:p>
        </w:tc>
        <w:tc>
          <w:tcPr>
            <w:tcW w:w="1794" w:type="dxa"/>
            <w:vAlign w:val="center"/>
            <w:textDirection w:val="lrTb"/>
            <w:noWrap w:val="false"/>
          </w:tcPr>
          <w:p>
            <w:pPr>
              <w:pStyle w:val="973"/>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73"/>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73"/>
              <w:jc w:val="center"/>
              <w:rPr>
                <w:rFonts w:ascii="宋体" w:hAnsi="宋体"/>
                <w:b w:val="0"/>
                <w:bCs/>
                <w:szCs w:val="21"/>
                <w:highlight w:val="none"/>
              </w:rPr>
            </w:pPr>
            <w:r>
              <w:rPr>
                <w:rFonts w:hint="eastAsia" w:ascii="宋体" w:hAnsi="宋体"/>
                <w:b w:val="0"/>
                <w:bCs/>
                <w:szCs w:val="21"/>
                <w:highlight w:val="none"/>
              </w:rPr>
              <w:t xml:space="preserve">3</w:t>
            </w:r>
            <w:r>
              <w:rPr>
                <w:rFonts w:ascii="宋体" w:hAnsi="宋体"/>
                <w:b w:val="0"/>
                <w:bCs/>
                <w:szCs w:val="21"/>
                <w:highlight w:val="none"/>
              </w:rPr>
            </w:r>
            <w:r/>
          </w:p>
        </w:tc>
        <w:tc>
          <w:tcPr>
            <w:tcW w:w="4993" w:type="dxa"/>
            <w:vAlign w:val="center"/>
            <w:textDirection w:val="lrTb"/>
            <w:noWrap w:val="false"/>
          </w:tcPr>
          <w:p>
            <w:pPr>
              <w:pStyle w:val="973"/>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pStyle w:val="973"/>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73"/>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73"/>
              <w:jc w:val="center"/>
              <w:rPr>
                <w:rFonts w:ascii="宋体" w:hAnsi="宋体"/>
                <w:b w:val="0"/>
                <w:bCs/>
                <w:szCs w:val="21"/>
                <w:highlight w:val="none"/>
              </w:rPr>
            </w:pPr>
            <w:r>
              <w:rPr>
                <w:rFonts w:hint="eastAsia" w:ascii="宋体" w:hAnsi="宋体"/>
                <w:b w:val="0"/>
                <w:bCs/>
                <w:szCs w:val="21"/>
                <w:highlight w:val="none"/>
              </w:rPr>
              <w:t xml:space="preserve">4</w:t>
            </w:r>
            <w:r>
              <w:rPr>
                <w:rFonts w:ascii="宋体" w:hAnsi="宋体"/>
                <w:b w:val="0"/>
                <w:bCs/>
                <w:szCs w:val="21"/>
                <w:highlight w:val="none"/>
              </w:rPr>
            </w:r>
            <w:r/>
          </w:p>
        </w:tc>
        <w:tc>
          <w:tcPr>
            <w:tcW w:w="4993" w:type="dxa"/>
            <w:vAlign w:val="center"/>
            <w:textDirection w:val="lrTb"/>
            <w:noWrap w:val="false"/>
          </w:tcPr>
          <w:p>
            <w:pPr>
              <w:pStyle w:val="973"/>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pStyle w:val="973"/>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73"/>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73"/>
              <w:jc w:val="center"/>
              <w:rPr>
                <w:rFonts w:ascii="宋体" w:hAnsi="宋体"/>
                <w:b w:val="0"/>
                <w:bCs/>
                <w:szCs w:val="21"/>
                <w:highlight w:val="none"/>
              </w:rPr>
            </w:pPr>
            <w:r>
              <w:rPr>
                <w:rFonts w:hint="eastAsia" w:ascii="宋体" w:hAnsi="宋体"/>
                <w:b w:val="0"/>
                <w:bCs/>
                <w:szCs w:val="21"/>
                <w:highlight w:val="none"/>
              </w:rPr>
              <w:t xml:space="preserve">5</w:t>
            </w:r>
            <w:r>
              <w:rPr>
                <w:rFonts w:ascii="宋体" w:hAnsi="宋体"/>
                <w:b w:val="0"/>
                <w:bCs/>
                <w:szCs w:val="21"/>
                <w:highlight w:val="none"/>
              </w:rPr>
            </w:r>
            <w:r/>
          </w:p>
        </w:tc>
        <w:tc>
          <w:tcPr>
            <w:tcW w:w="4993" w:type="dxa"/>
            <w:vAlign w:val="center"/>
            <w:textDirection w:val="lrTb"/>
            <w:noWrap w:val="false"/>
          </w:tcPr>
          <w:p>
            <w:pPr>
              <w:pStyle w:val="973"/>
              <w:spacing w:line="0" w:lineRule="atLeast"/>
              <w:rPr>
                <w:rFonts w:ascii="宋体" w:hAnsi="宋体"/>
                <w:iCs/>
                <w:szCs w:val="21"/>
                <w:highlight w:val="none"/>
              </w:rPr>
            </w:pPr>
            <w:r>
              <w:rPr>
                <w:rFonts w:ascii="宋体" w:hAnsi="宋体"/>
                <w:iCs/>
                <w:szCs w:val="21"/>
                <w:highlight w:val="none"/>
              </w:rPr>
              <w:t xml:space="preserve">……</w:t>
            </w:r>
            <w:r>
              <w:rPr>
                <w:rFonts w:ascii="宋体" w:hAnsi="宋体"/>
                <w:iCs/>
                <w:szCs w:val="21"/>
                <w:highlight w:val="none"/>
              </w:rPr>
            </w:r>
            <w:r/>
          </w:p>
        </w:tc>
        <w:tc>
          <w:tcPr>
            <w:tcW w:w="1794" w:type="dxa"/>
            <w:vAlign w:val="center"/>
            <w:textDirection w:val="lrTb"/>
            <w:noWrap w:val="false"/>
          </w:tcPr>
          <w:p>
            <w:pPr>
              <w:pStyle w:val="973"/>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73"/>
              <w:rPr>
                <w:rFonts w:ascii="宋体" w:hAnsi="宋体"/>
                <w:szCs w:val="21"/>
                <w:highlight w:val="none"/>
              </w:rPr>
            </w:pPr>
            <w:r>
              <w:rPr>
                <w:rFonts w:ascii="宋体" w:hAnsi="宋体"/>
                <w:szCs w:val="21"/>
                <w:highlight w:val="none"/>
              </w:rPr>
            </w:r>
            <w:r/>
          </w:p>
        </w:tc>
      </w:tr>
    </w:tbl>
    <w:p>
      <w:pPr>
        <w:pStyle w:val="973"/>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73"/>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73"/>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1.投标人必须对采购需求中的实质性要求（</w:t>
      </w:r>
      <w:r>
        <w:rPr>
          <w:rFonts w:hint="eastAsia" w:ascii="宋体" w:hAnsi="宋体" w:eastAsia="宋体" w:cs="Times New Roman"/>
          <w:i/>
          <w:iCs/>
          <w:strike w:val="0"/>
          <w:color w:val="000000"/>
          <w:sz w:val="21"/>
          <w:szCs w:val="21"/>
          <w:highlight w:val="none"/>
          <w:u w:val="single"/>
        </w:rPr>
        <w:t xml:space="preserve">斜体且有下划线部分</w:t>
      </w:r>
      <w:r>
        <w:rPr>
          <w:rFonts w:hint="eastAsia"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r>
      <w:r/>
    </w:p>
    <w:p>
      <w:pPr>
        <w:pStyle w:val="973"/>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2.如果招标文件要求提供证明材料，投标人必须将证明材料列于该表之下。</w:t>
      </w:r>
      <w:r>
        <w:rPr>
          <w:rFonts w:hint="eastAsia" w:ascii="宋体" w:hAnsi="宋体" w:eastAsia="宋体" w:cs="Times New Roman"/>
          <w:color w:val="000000"/>
          <w:sz w:val="21"/>
          <w:szCs w:val="21"/>
          <w:highlight w:val="none"/>
        </w:rPr>
      </w:r>
      <w:r/>
    </w:p>
    <w:p>
      <w:pPr>
        <w:pStyle w:val="973"/>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000000"/>
          <w:sz w:val="21"/>
          <w:szCs w:val="21"/>
          <w:highlight w:val="none"/>
          <w:lang w:val="en-US" w:eastAsia="zh-CN"/>
        </w:rPr>
        <w:t xml:space="preserve">项目</w:t>
      </w:r>
      <w:r>
        <w:rPr>
          <w:rFonts w:hint="eastAsia" w:ascii="宋体" w:hAnsi="宋体" w:eastAsia="宋体" w:cs="Times New Roman"/>
          <w:color w:val="000000"/>
          <w:sz w:val="21"/>
          <w:szCs w:val="21"/>
          <w:highlight w:val="none"/>
        </w:rPr>
        <w:t xml:space="preserve">作无效投标处理。</w:t>
      </w:r>
      <w:r>
        <w:rPr>
          <w:rFonts w:hint="eastAsia" w:ascii="宋体" w:hAnsi="宋体" w:eastAsia="宋体" w:cs="Times New Roman"/>
          <w:color w:val="000000"/>
          <w:sz w:val="21"/>
          <w:szCs w:val="21"/>
          <w:highlight w:val="none"/>
        </w:rPr>
      </w:r>
      <w:r/>
    </w:p>
    <w:p>
      <w:pPr>
        <w:pStyle w:val="973"/>
        <w:jc w:val="left"/>
        <w:keepLines w:val="0"/>
        <w:keepNext w:val="0"/>
        <w:pageBreakBefore w:val="0"/>
        <w:spacing w:line="360" w:lineRule="auto"/>
        <w:widowControl w:val="off"/>
        <w:rPr>
          <w:rFonts w:hint="eastAsia" w:ascii="宋体" w:hAnsi="宋体"/>
          <w:bCs/>
          <w:color w:val="000000"/>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、投标分项报价表</w:t>
      </w:r>
      <w:r>
        <w:rPr>
          <w:rFonts w:hint="eastAsia" w:ascii="宋体" w:hAnsi="宋体"/>
          <w:bCs/>
          <w:color w:val="000000"/>
          <w:highlight w:val="none"/>
        </w:rPr>
      </w:r>
      <w:r/>
    </w:p>
    <w:p>
      <w:pPr>
        <w:pStyle w:val="973"/>
        <w:jc w:val="center"/>
        <w:pageBreakBefore w:val="0"/>
        <w:spacing w:line="360" w:lineRule="auto"/>
        <w:rPr>
          <w:rFonts w:hint="eastAsia" w:ascii="黑体" w:hAnsi="黑体" w:eastAsia="黑体"/>
          <w:b/>
          <w:sz w:val="32"/>
          <w:szCs w:val="32"/>
          <w:highlight w:val="none"/>
        </w:rPr>
      </w:pPr>
      <w:r>
        <w:rPr>
          <w:rFonts w:hint="eastAsia" w:ascii="宋体" w:hAnsi="宋体" w:eastAsia="宋体" w:cs="宋体"/>
          <w:b/>
          <w:sz w:val="28"/>
          <w:szCs w:val="28"/>
          <w:highlight w:val="none"/>
        </w:rPr>
        <w:t xml:space="preserve">投标分项报价表</w:t>
      </w:r>
      <w:r>
        <w:rPr>
          <w:rFonts w:hint="eastAsia" w:ascii="黑体" w:hAnsi="黑体" w:eastAsia="黑体"/>
          <w:b/>
          <w:sz w:val="32"/>
          <w:szCs w:val="32"/>
          <w:highlight w:val="none"/>
        </w:rPr>
      </w:r>
      <w:r/>
    </w:p>
    <w:tbl>
      <w:tblPr>
        <w:tblW w:w="5174" w:type="pct"/>
        <w:tblInd w:w="-25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85"/>
        <w:gridCol w:w="648"/>
        <w:gridCol w:w="1310"/>
        <w:gridCol w:w="1057"/>
        <w:gridCol w:w="1020"/>
        <w:gridCol w:w="1350"/>
        <w:gridCol w:w="705"/>
        <w:gridCol w:w="855"/>
        <w:gridCol w:w="998"/>
        <w:gridCol w:w="967"/>
      </w:tblGrid>
      <w:tr>
        <w:trPr>
          <w:trHeight w:val="51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34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分类</w:t>
            </w:r>
            <w:r>
              <w:rPr>
                <w:rFonts w:hint="eastAsia" w:ascii="宋体" w:hAnsi="宋体" w:eastAsia="宋体" w:cs="宋体"/>
                <w:i w:val="0"/>
                <w:iCs w:val="0"/>
                <w:color w:val="000000"/>
                <w:sz w:val="20"/>
                <w:szCs w:val="20"/>
                <w:highlight w:val="none"/>
                <w:u w:val="none"/>
              </w:rPr>
            </w:r>
            <w:r/>
          </w:p>
        </w:tc>
        <w:tc>
          <w:tcPr>
            <w:tcW w:w="689"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清单</w:t>
            </w:r>
            <w:r>
              <w:rPr>
                <w:rFonts w:hint="eastAsia" w:ascii="宋体" w:hAnsi="宋体" w:eastAsia="宋体" w:cs="宋体"/>
                <w:i w:val="0"/>
                <w:iCs w:val="0"/>
                <w:color w:val="000000"/>
                <w:sz w:val="20"/>
                <w:szCs w:val="20"/>
                <w:highlight w:val="none"/>
                <w:u w:val="none"/>
              </w:rPr>
            </w:r>
            <w:r/>
          </w:p>
        </w:tc>
        <w:tc>
          <w:tcPr>
            <w:gridSpan w:val="3"/>
            <w:tcW w:w="3427" w:type="dxa"/>
            <w:vAlign w:val="center"/>
            <w:textDirection w:val="lrTb"/>
            <w:noWrap/>
          </w:tcPr>
          <w:p>
            <w:pPr>
              <w:pStyle w:val="97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功能</w:t>
            </w:r>
            <w:r>
              <w:rPr>
                <w:rFonts w:hint="eastAsia" w:ascii="宋体" w:hAnsi="宋体" w:eastAsia="宋体" w:cs="宋体"/>
                <w:i w:val="0"/>
                <w:iCs w:val="0"/>
                <w:color w:val="000000"/>
                <w:sz w:val="20"/>
                <w:szCs w:val="20"/>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W w:w="52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全费用单价（元）</w:t>
            </w:r>
            <w:r>
              <w:rPr>
                <w:rFonts w:hint="eastAsia" w:ascii="宋体" w:hAnsi="宋体" w:eastAsia="宋体" w:cs="宋体"/>
                <w:i w:val="0"/>
                <w:iCs w:val="0"/>
                <w:color w:val="000000"/>
                <w:sz w:val="20"/>
                <w:szCs w:val="20"/>
                <w:highlight w:val="none"/>
                <w:u w:val="none"/>
              </w:rPr>
            </w:r>
            <w:r/>
          </w:p>
        </w:tc>
        <w:tc>
          <w:tcPr>
            <w:tcW w:w="509"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（万元）</w:t>
            </w:r>
            <w:r>
              <w:rPr>
                <w:rFonts w:hint="eastAsia" w:ascii="宋体" w:hAnsi="宋体" w:eastAsia="宋体" w:cs="宋体"/>
                <w:i w:val="0"/>
                <w:iCs w:val="0"/>
                <w:color w:val="000000"/>
                <w:sz w:val="20"/>
                <w:szCs w:val="20"/>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软件服务</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河湖</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入河排口-正常排口</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入河排口-问题大排口</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排水户雨水排口</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排水户污水排口</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排水户混流排口</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雨水收水井</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雨水检查井</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雨水管线</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0.76</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污水检查井</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污水管线</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0.76</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合流管检查井</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合流管线</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0.76</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过河管线</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0.76</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其他管线</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0.76</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泵站-旱季截流泵站</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软件服务</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泵站-污水泵站</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泵站-雨水泵站</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泵站-其他转输泵</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河道闸阀</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污水处理厂-污水厂</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污水处理厂-排水户自建</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在建项目</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历史积涝点-待解决</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历史积涝点-已解决</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历史积涝点-解决中</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污水冒溢点-待解决</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污水冒溢点-已解决</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污水冒溢点-解决中</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监测对象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雨污混接点</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监测设备</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监控视频</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监测设备</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井盖监测仪</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监测设备</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流量计</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监测设备</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水质监测仪</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监测设备</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液位计</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监测设备</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雨量计</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监测设备</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智能网关</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软件服务</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监测范围</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流域</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监测范围</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排口范围</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监测范围</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社区网格</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监测范围</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收水范围</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监测范围</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用地性质</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监测范围</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整改范围</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涉水资产GIS一张图</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监测范围</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涉水建设项目</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小数据</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水质报告</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小数据</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液位报告</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小数据</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检测报告</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小数据</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流量报告</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小数据</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溯源报告</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小数据</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巡查报告</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小数据</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综合预警</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全域分析</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高程分析</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全域分析</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高水位分析</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全域分析</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封闭性分析</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全域分析</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畅通性分析</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大屏展示</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排水户分析大屏</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大屏展示</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入河排口分析大屏</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大屏展示</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管网高程分析大屏</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软件服务</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大屏展示</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泵站分析大屏</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排水综合管理专项平台</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数据报告</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大屏展示</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污水厂分析大屏</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生命线</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排水设施基础信息上报接口</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生命线</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排水设施基础信息查询接口</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0.42</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生命线</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实时监测数据上报接口</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生命线</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历史监测数据查询接口</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0.42</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生命线</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预警告警信息上报接口</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生命线</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预警告警信息查询接口</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0.42</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生命线</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应急处置数据上报接口</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生命线</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应急处置数据查询接口</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0.42</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生命线</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身份认证与授权</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生命线</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数据加密</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生命线</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接口测试</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0.32</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生命线</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接口运维</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泵站平台</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泵站基础信息</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0.48</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泵站平台</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泵站监测信息</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泵站平台</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视频信息</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0.48</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外部系统对接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系统接口</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旧智慧排水综合管理平台</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待定</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硬件直接对接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网关对接</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网关对接</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新设备安装</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6.01</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软件服务</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硬件直接对接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网关对接</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网关对接</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综合利用原有设备</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6.01</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硬件直接对接</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网关对接</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网关对接</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综合利用原有设备</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6.01</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监测设备健康评估模型服务</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管网雨污混接识别模型服务</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管网污水偷排识别模型服务</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5.01</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排水管网溢流识别模型服务</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流量、液位突变阈值算法模型服务</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排水管网淤积风险诊断模型服务</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排水管网溢流风险接诊断模型服务</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算法服务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污水厂进水浓度评估模型</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河湖</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软件服务</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入河排口</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雨水收水井</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雨水检查井</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雨水管线</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软件服务</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污水检查井</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污水管线</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合流管检查井</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软件服务</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合流管线</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过河管线</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合流管线</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软件服务</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泵站-旱季截流泵站</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泵站-污水泵站</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泵站-雨水泵站</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软件服务</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泵站-其他转输泵</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闸门数据</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阀门数据</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调蓄设施数据</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软件服务</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溢流堰数据</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雨污混接点</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雨污混接点水量监测数据</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109</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雨污混接点水质监测数据</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管渠内窥检测</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污水处理厂</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软件服务</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污水处理厂-排水户自建</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在建项目-在建项目</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历史积涝点</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数据治理3年服务</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数据质量评估清洗与标准化</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污水冒溢点</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排水分区管理模块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雨水分区管理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雨水分区GIS展示</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排水分区管理模块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雨水分区管理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雨水分区列表</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排水分区管理模块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雨水分区管理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雨水分区详情</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排水分区管理模块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污水分区管理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污水分区GIS展示</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排水分区管理模块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污水分区管理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污水分区列表</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排水分区管理模块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污水分区管理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污水分区详情</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排水分区管理模块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上下游监测点位关联展示</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综合展示</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排水分区管理模块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上下游监测点位关联展示</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向上1级溯源展示</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排水分区管理模块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上下游监测点位关联展示</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向上2级溯源展示</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排水分区管理模块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上下游监测点位关联展示</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向上3级溯源展示</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数据信息管理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监测设备-阈值设定-电量报警</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软件服务</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数据信息管理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监测设备-阈值设定-通讯中断</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数据信息管理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监测设备-阈值设定-液位预警</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数据信息管理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监测设备-阈值设定-液位溢流</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数据信息管理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监测设备-阈值设定-液位报警</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131</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动态监测与预警管理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拟报警数据展示</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动态监测与预警管理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预警审核管理</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动态监测与预警管理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预警阈值管理</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动态监测与预警管理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预警审核统计分析</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动态监测与预警管理</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预警审核台账导出</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0.79</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动态预警研判</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排水管网雨污混接预警</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动态预警研判</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排水管网淤堵预警</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138</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动态预警研判</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排水管网溢流预警</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动态预警研判</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排水管网渗漏预警</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动态预警研判</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排水预警统计分析</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141</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风险数据统计与分析</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风险数据统计分析</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风险数据统计与分析</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上下游风险数据关联分析</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排水动态预警模块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实时监测报警预警GIS一张图</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监测预警信息进行汇聚展示</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排水管网风险诊断模块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排水管网综合风险评估分析</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排水管网综合风险统计分析</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软件服务</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排水管网风险诊断模块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排水管网综合风险评估分析</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排水管网综合风险诊断</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排水管网风险诊断模块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管网雨污混接风险诊断分析</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排水管网雨污混接诊断</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排水管网风险诊断模块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管网雨污混接风险诊断分析</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排水管网雨污混接风险详情分析</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排水管网风险诊断模块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管网淤积风险诊断分析</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排水管网淤积风险诊断分析</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149</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排水管网风险诊断模块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管网淤积风险诊断分析</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排水管网淤积风险详情分析</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排水管网风险诊断模块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管网溢流风险评估分析</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排水管网溢流风险诊断分析</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排水管网风险诊断模块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管网溢流风险评估分析</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排水管网溢流风险详情分析</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排水管网风险诊断模块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风险诊断统计</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渗漏风险评估情况统计</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排水管网风险诊断模块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排水管道风险评估GIS一张图</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风险评估展示</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154</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排水管网风险诊断模块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排水管网决策支撑模块</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监测设备状态数据自动更新</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59"/>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排水管网风险诊断模块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排水管网决策支撑模块</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按地理位置结合运维单位分组派单</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156</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数据分析模块</w:t>
            </w:r>
            <w:r>
              <w:rPr>
                <w:rFonts w:hint="eastAsia" w:ascii="宋体" w:hAnsi="宋体" w:eastAsia="宋体" w:cs="宋体"/>
                <w:i w:val="0"/>
                <w:iCs w:val="0"/>
                <w:color w:val="000000"/>
                <w:sz w:val="18"/>
                <w:szCs w:val="18"/>
                <w:highlight w:val="none"/>
                <w:u w:val="none"/>
              </w:rPr>
            </w:r>
            <w:r/>
          </w:p>
        </w:tc>
        <w:tc>
          <w:tcPr>
            <w:tcW w:w="556"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排水管网风险诊断模块</w: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排水管网决策支撑模块</w:t>
            </w:r>
            <w:r>
              <w:rPr>
                <w:rFonts w:hint="eastAsia" w:ascii="宋体" w:hAnsi="宋体" w:eastAsia="宋体" w:cs="宋体"/>
                <w:i w:val="0"/>
                <w:iCs w:val="0"/>
                <w:color w:val="000000"/>
                <w:sz w:val="18"/>
                <w:szCs w:val="18"/>
                <w:highlight w:val="none"/>
                <w:u w:val="none"/>
              </w:rPr>
            </w:r>
            <w:r/>
          </w:p>
        </w:tc>
        <w:tc>
          <w:tcPr>
            <w:tcW w:w="710"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排水户问题状态数据自动更新</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vMerge w:val="restart"/>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运营服务</w:t>
            </w:r>
            <w:r>
              <w:rPr>
                <w:rFonts w:hint="eastAsia" w:ascii="宋体" w:hAnsi="宋体" w:eastAsia="宋体" w:cs="宋体"/>
                <w:i w:val="0"/>
                <w:iCs w:val="0"/>
                <w:color w:val="000000"/>
                <w:sz w:val="18"/>
                <w:szCs w:val="18"/>
                <w:highlight w:val="none"/>
                <w:u w:val="none"/>
              </w:rPr>
            </w:r>
            <w:r/>
          </w:p>
        </w:tc>
        <w:tc>
          <w:tcPr>
            <w:tcW w:w="556"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软件运营服务费</w:t>
            </w:r>
            <w:r>
              <w:rPr>
                <w:rFonts w:hint="eastAsia" w:ascii="宋体" w:hAnsi="宋体" w:eastAsia="宋体" w:cs="宋体"/>
                <w:i w:val="0"/>
                <w:iCs w:val="0"/>
                <w:color w:val="000000"/>
                <w:sz w:val="18"/>
                <w:szCs w:val="18"/>
                <w:highlight w:val="none"/>
                <w:u w:val="none"/>
              </w:rPr>
            </w:r>
            <w:r/>
          </w:p>
        </w:tc>
        <w:tc>
          <w:tcPr>
            <w:gridSpan w:val="2"/>
            <w:tcW w:w="2370"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软件运营服务费</w:t>
            </w:r>
            <w:r>
              <w:rPr>
                <w:rFonts w:hint="eastAsia" w:ascii="宋体" w:hAnsi="宋体" w:eastAsia="宋体" w:cs="宋体"/>
                <w:i w:val="0"/>
                <w:iCs w:val="0"/>
                <w:color w:val="000000"/>
                <w:sz w:val="18"/>
                <w:szCs w:val="18"/>
                <w:highlight w:val="none"/>
                <w:u w:val="none"/>
              </w:rPr>
            </w:r>
            <w:r/>
          </w:p>
        </w:tc>
        <w:tc>
          <w:tcPr>
            <w:tcW w:w="371" w:type="dxa"/>
            <w:vAlign w:val="center"/>
            <w:vMerge w:val="restart"/>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32.59</w:t>
            </w:r>
            <w:r>
              <w:rPr>
                <w:rFonts w:hint="eastAsia" w:ascii="宋体" w:hAnsi="宋体" w:eastAsia="宋体" w:cs="宋体"/>
                <w:i w:val="0"/>
                <w:iCs w:val="0"/>
                <w:color w:val="000000"/>
                <w:sz w:val="18"/>
                <w:szCs w:val="18"/>
                <w:highlight w:val="none"/>
                <w:u w:val="none"/>
              </w:rPr>
            </w:r>
            <w:r/>
          </w:p>
        </w:tc>
        <w:tc>
          <w:tcPr>
            <w:tcW w:w="450" w:type="dxa"/>
            <w:vAlign w:val="center"/>
            <w:vMerge w:val="restart"/>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tcW w:w="525" w:type="dxa"/>
            <w:vAlign w:val="center"/>
            <w:vMerge w:val="restart"/>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vMerge w:val="restart"/>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vMerge w:val="continue"/>
            <w:textDirection w:val="lrTb"/>
            <w:noWrap w:val="false"/>
          </w:tcPr>
          <w:p>
            <w:pPr>
              <w:pStyle w:val="973"/>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6"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tcW w:w="2370"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371" w:type="dxa"/>
            <w:vAlign w:val="center"/>
            <w:vMerge w:val="continue"/>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vMerge w:val="continue"/>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25" w:type="dxa"/>
            <w:vAlign w:val="center"/>
            <w:vMerge w:val="continue"/>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vMerge w:val="continue"/>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vMerge w:val="continue"/>
            <w:textDirection w:val="lrTb"/>
            <w:noWrap w:val="false"/>
          </w:tcPr>
          <w:p>
            <w:pPr>
              <w:pStyle w:val="973"/>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6"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tcW w:w="2370"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371" w:type="dxa"/>
            <w:vAlign w:val="center"/>
            <w:vMerge w:val="continue"/>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vMerge w:val="continue"/>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25" w:type="dxa"/>
            <w:vAlign w:val="center"/>
            <w:vMerge w:val="continue"/>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vMerge w:val="continue"/>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vMerge w:val="continue"/>
            <w:textDirection w:val="lrTb"/>
            <w:noWrap w:val="false"/>
          </w:tcPr>
          <w:p>
            <w:pPr>
              <w:pStyle w:val="973"/>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6"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tcW w:w="2370"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371" w:type="dxa"/>
            <w:vAlign w:val="center"/>
            <w:vMerge w:val="continue"/>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vMerge w:val="continue"/>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25" w:type="dxa"/>
            <w:vAlign w:val="center"/>
            <w:vMerge w:val="continue"/>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vMerge w:val="continue"/>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8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161</w:t>
            </w:r>
            <w:r>
              <w:rPr>
                <w:rFonts w:hint="eastAsia" w:ascii="宋体" w:hAnsi="宋体" w:eastAsia="宋体" w:cs="宋体"/>
                <w:i w:val="0"/>
                <w:iCs w:val="0"/>
                <w:color w:val="000000"/>
                <w:sz w:val="18"/>
                <w:szCs w:val="18"/>
                <w:highlight w:val="none"/>
                <w:u w:val="none"/>
              </w:rPr>
            </w:r>
            <w:r/>
          </w:p>
        </w:tc>
        <w:tc>
          <w:tcPr>
            <w:tcW w:w="34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硬件</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液位计</w:t>
            </w:r>
            <w:r>
              <w:rPr>
                <w:rFonts w:hint="eastAsia" w:ascii="宋体" w:hAnsi="宋体" w:eastAsia="宋体" w:cs="宋体"/>
                <w:i w:val="0"/>
                <w:iCs w:val="0"/>
                <w:color w:val="000000"/>
                <w:sz w:val="18"/>
                <w:szCs w:val="18"/>
                <w:highlight w:val="none"/>
                <w:u w:val="none"/>
              </w:rPr>
            </w:r>
            <w:r/>
          </w:p>
        </w:tc>
        <w:tc>
          <w:tcPr>
            <w:gridSpan w:val="3"/>
            <w:tcW w:w="342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量程 0-10m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测距精度 ±1mm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分辨率 1mm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工作频率 60GHz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雷达体制 FMCW（调频连续波）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波束角 4°</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雷达天线 介质透镜天线</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电池电压 DC 10.8V</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电池容量 38AH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工作时间 ≥12 个月</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待机功耗 ≤15uA(@DC12V)</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工作功耗 ≤15mA(@DC12V)</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通信方式 4G/2G/NB-IoT 可选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供电时间 1-65535 秒可设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采集周期 1-2880 分钟可设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上传周期 1-2880 分钟可设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配置方式 蓝牙和远程无线方式配置参数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工作模式 3 种工作模式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报警功能 6 级水位报警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透传功能 远程配置传感器参数，且支持对传感器的远程无线升级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升级方式 有线升级和远程无线升级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数据存储 30MFlash 存储空间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数据条数 65536 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数据补报 可补报未上传的历史数据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防护等级 IP68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防爆等级 Ex ia IIC T6 Ga/Ex iaD 20 T85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工作温度 -40℃~+85℃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存储温度 -45℃~+85℃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重量 1.5kg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尺寸 144x144x173mm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1、测量原理：多普勒+投入式静压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2、主机防护：防腐、防爆、IP68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3、工作频率：2000KHz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4、声路：单声路平面阵列型、与仪器底部夹角：45°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5、流速测量范围：±6m/s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6、双向测流：支持判断水流方向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7、流速测量精度：±1.0% FS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8、流速分辨率：0.001m/s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9、温度传感器测量范围：－25℃～75℃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10、水温测量精度:0.4℃</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11、水位测量范围：0-10m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12、水位测量精度：±0.1%FS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13、瞬时流量范围：0.001-65.535立方米/秒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14、数据输出：实时水位、单元流速、正逆流、断面面积、流量、水量等数据。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15、工作温度：－10℃～60℃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16、存贮温度：－20℃～70℃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17、防爆认证：Ex ia IIC T6 Ga）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18、防护等级：IP68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19、工作电压：内置锂电池 DC12V±10%，AC220V，50Hz，±10%；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20、空载功耗：≤0.28W 额定电压：≤0.5W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21、通讯协议：MODBUS-RTU/RS485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22、内置各种面积模型计算公式：圆形、梯形、矩形、费规则断面；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23、外壳具有耐腐蚀盐雾报告：</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24、配置软件:提供配套专用软件，可在电脑上显示监测数据和配置参数，可以显示流速、水位、瞬时流量、温度、累计水量和设备倾角等实时数据。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25、内置面积计算模型具备梯形、圆形、矩形、非规则模型。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26、测量间隔：自动方式：0-120 分钟选择值，以 5 分钟为最小递增或递减间隔单位，手动方式：可单次或连续多次测量，间隔任意；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27、测速历时自动方式：60 秒和 100 秒，手动方式：10-120秒，递增或递减选择；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28、数据存储：可存储 10 万组数据；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29、测量方式：便携式，插杆 2 米，若加长可定制。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30、传感器尺寸：220*68*30mm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31、空气中质量：1.5Kg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32、水中质量：0.3Kg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33、平均无故障工作时间：≥25000h  含培训、3年延保服务</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87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硬件</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便携式流量计</w:t>
            </w:r>
            <w:r>
              <w:rPr>
                <w:rFonts w:hint="eastAsia" w:ascii="宋体" w:hAnsi="宋体" w:eastAsia="宋体" w:cs="宋体"/>
                <w:i w:val="0"/>
                <w:iCs w:val="0"/>
                <w:color w:val="000000"/>
                <w:sz w:val="18"/>
                <w:szCs w:val="18"/>
                <w:highlight w:val="none"/>
                <w:u w:val="none"/>
              </w:rPr>
            </w:r>
            <w:r/>
          </w:p>
        </w:tc>
        <w:tc>
          <w:tcPr>
            <w:gridSpan w:val="3"/>
            <w:tcW w:w="342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1、测量原理：多普勒+投入式静压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2、主机防护：防腐、防爆、IP68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3、工作频率：2000KHz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4、声路：单声路平面阵列型、与仪器底部夹角：45°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5、流速测量范围：±6m/s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6、双向测流：支持判断水流方向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7、流速测量精度：±1.0% FS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8、流速分辨率：0.001m/s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9、温度传感器测量范围：－25℃～75℃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10、水温测量精度:0.4℃</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11、水位测量范围：0-10m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12、水位测量精度：±0.1%FS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13、瞬时流量范围：0.001-65.535立方米/秒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14、数据输出：实时水位、单元流速、正逆流、断面面积、流量、水量等数据。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15、工作温度：－10℃～60℃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16、存贮温度：－20℃～70℃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17、防爆认证：Ex ia IIC T6 Ga）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18、防护等级：IP68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19、工作电压：内置锂电池 DC12V±10%，AC220V，50Hz，±10%；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20、空载功耗：≤0.28W 额定电压：≤0.5W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21、通讯协议：MODBUS-RTU/RS485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22、内置各种面积模型计算公式：圆形、梯形、矩形、费规则断面；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23、外壳具有耐腐蚀盐雾报告：</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24、配置软件:提供配套专用软件，可在电脑上显示监测数据和配置参数，可以显示流速、水位、瞬时流量、温度、累计水量和设备倾角等实时数据。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25、内置面积计算模型具备梯形、圆形、矩形、非规则模型。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26、测量间隔：自动方式：0-120 分钟选择值，以 5 分钟为最小递增或递减间隔单位，手动方式：可单次或连续多次测量，间隔任意；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27、测速历时自动方式：60 秒和 100 秒，手动方式：10-120秒，递增或递减选择；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28、数据存储：可存储 10 万组数据；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29、测量方式：便携式，插杆 2 米，若加长可定制。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30、传感器尺寸：220*68*30mm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31、空气中质量：1.5Kg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32、水中质量：0.3Kg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33、平均无故障工作时间：≥25000h  含培训、3年延保服务</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8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163</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73"/>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COD水质监测设备</w:t>
            </w:r>
            <w:r>
              <w:rPr>
                <w:rFonts w:hint="eastAsia" w:ascii="宋体" w:hAnsi="宋体" w:eastAsia="宋体" w:cs="宋体"/>
                <w:i w:val="0"/>
                <w:iCs w:val="0"/>
                <w:color w:val="000000"/>
                <w:sz w:val="18"/>
                <w:szCs w:val="18"/>
                <w:highlight w:val="none"/>
                <w:u w:val="none"/>
              </w:rPr>
            </w:r>
            <w:r/>
          </w:p>
        </w:tc>
        <w:tc>
          <w:tcPr>
            <w:gridSpan w:val="3"/>
            <w:tcW w:w="342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9~28VDC，配刮刷自清洗，5波长校准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量程： 0~500mg/L COD（5mm光程）；分辨率：0.1mg/L,精确度：±2%或±2.5mg/L取大者；RS485/Modbus RTU</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8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164</w:t>
            </w:r>
            <w:r>
              <w:rPr>
                <w:rFonts w:hint="eastAsia" w:ascii="宋体" w:hAnsi="宋体" w:eastAsia="宋体" w:cs="宋体"/>
                <w:i w:val="0"/>
                <w:iCs w:val="0"/>
                <w:color w:val="000000"/>
                <w:sz w:val="18"/>
                <w:szCs w:val="18"/>
                <w:highlight w:val="none"/>
                <w:u w:val="none"/>
              </w:rPr>
            </w:r>
            <w:r/>
          </w:p>
        </w:tc>
        <w:tc>
          <w:tcPr>
            <w:tcW w:w="34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运维费</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73"/>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硬件运维</w:t>
            </w:r>
            <w:r>
              <w:rPr>
                <w:rFonts w:hint="eastAsia" w:ascii="宋体" w:hAnsi="宋体" w:eastAsia="宋体" w:cs="宋体"/>
                <w:i w:val="0"/>
                <w:iCs w:val="0"/>
                <w:color w:val="000000"/>
                <w:sz w:val="18"/>
                <w:szCs w:val="18"/>
                <w:highlight w:val="none"/>
                <w:u w:val="none"/>
              </w:rPr>
            </w:r>
            <w:r/>
          </w:p>
        </w:tc>
        <w:tc>
          <w:tcPr>
            <w:gridSpan w:val="3"/>
            <w:tcW w:w="3427"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液位、水质点位设备日常巡检、故障维修、点位调整、更换电池</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点/三年</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rPr>
                <w:rFonts w:hint="eastAsia" w:ascii="宋体" w:hAnsi="宋体" w:eastAsia="宋体" w:cs="宋体"/>
                <w:i w:val="0"/>
                <w:iCs w:val="0"/>
                <w:color w:val="000000"/>
                <w:sz w:val="18"/>
                <w:szCs w:val="18"/>
                <w:highlight w:val="none"/>
                <w:u w:val="none"/>
              </w:rPr>
            </w:r>
            <w:r/>
          </w:p>
        </w:tc>
        <w:tc>
          <w:tcPr>
            <w:tcW w:w="34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配套资源</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中间件</w:t>
            </w:r>
            <w:r>
              <w:rPr>
                <w:rFonts w:hint="eastAsia" w:ascii="宋体" w:hAnsi="宋体" w:eastAsia="宋体" w:cs="宋体"/>
                <w:i w:val="0"/>
                <w:iCs w:val="0"/>
                <w:color w:val="000000"/>
                <w:sz w:val="18"/>
                <w:szCs w:val="18"/>
                <w:highlight w:val="none"/>
                <w:u w:val="none"/>
              </w:rPr>
            </w:r>
            <w:r/>
          </w:p>
        </w:tc>
        <w:tc>
          <w:tcPr>
            <w:gridSpan w:val="3"/>
            <w:tcW w:w="3427"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国产化</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数据库</w:t>
            </w:r>
            <w:r>
              <w:rPr>
                <w:rFonts w:hint="eastAsia" w:ascii="宋体" w:hAnsi="宋体" w:eastAsia="宋体" w:cs="宋体"/>
                <w:i w:val="0"/>
                <w:iCs w:val="0"/>
                <w:color w:val="000000"/>
                <w:sz w:val="18"/>
                <w:szCs w:val="18"/>
                <w:highlight w:val="none"/>
                <w:u w:val="none"/>
              </w:rPr>
            </w:r>
            <w:r/>
          </w:p>
        </w:tc>
        <w:tc>
          <w:tcPr>
            <w:gridSpan w:val="3"/>
            <w:tcW w:w="3427"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国产化</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操作系统</w:t>
            </w:r>
            <w:r>
              <w:rPr>
                <w:rFonts w:hint="eastAsia" w:ascii="宋体" w:hAnsi="宋体" w:eastAsia="宋体" w:cs="宋体"/>
                <w:i w:val="0"/>
                <w:iCs w:val="0"/>
                <w:color w:val="000000"/>
                <w:sz w:val="18"/>
                <w:szCs w:val="18"/>
                <w:highlight w:val="none"/>
                <w:u w:val="none"/>
              </w:rPr>
            </w:r>
            <w:r/>
          </w:p>
        </w:tc>
        <w:tc>
          <w:tcPr>
            <w:gridSpan w:val="3"/>
            <w:tcW w:w="3427"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国产化</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w:t>
            </w:r>
            <w:r>
              <w:rPr>
                <w:rFonts w:hint="eastAsia" w:ascii="宋体" w:hAnsi="宋体" w:eastAsia="宋体" w:cs="宋体"/>
                <w:i w:val="0"/>
                <w:iCs w:val="0"/>
                <w:color w:val="000000"/>
                <w:sz w:val="18"/>
                <w:szCs w:val="18"/>
                <w:highlight w:val="none"/>
                <w:u w:val="none"/>
              </w:rPr>
            </w:r>
            <w:r/>
          </w:p>
        </w:tc>
        <w:tc>
          <w:tcPr>
            <w:tcW w:w="341" w:type="dxa"/>
            <w:vAlign w:val="center"/>
            <w:vMerge w:val="continue"/>
            <w:textDirection w:val="lrTb"/>
            <w:noWrap w:val="false"/>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网络资源</w:t>
            </w:r>
            <w:r>
              <w:rPr>
                <w:rFonts w:hint="eastAsia" w:ascii="宋体" w:hAnsi="宋体" w:eastAsia="宋体" w:cs="宋体"/>
                <w:i w:val="0"/>
                <w:iCs w:val="0"/>
                <w:color w:val="000000"/>
                <w:sz w:val="18"/>
                <w:szCs w:val="18"/>
                <w:highlight w:val="none"/>
                <w:u w:val="none"/>
              </w:rPr>
            </w:r>
            <w:r/>
          </w:p>
        </w:tc>
        <w:tc>
          <w:tcPr>
            <w:gridSpan w:val="3"/>
            <w:tcW w:w="3427"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专线</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条/三年</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169</w:t>
            </w:r>
            <w:r>
              <w:rPr>
                <w:rFonts w:hint="eastAsia" w:ascii="宋体" w:hAnsi="宋体" w:eastAsia="宋体" w:cs="宋体"/>
                <w:i w:val="0"/>
                <w:iCs w:val="0"/>
                <w:color w:val="000000"/>
                <w:sz w:val="18"/>
                <w:szCs w:val="18"/>
                <w:highlight w:val="none"/>
                <w:u w:val="none"/>
              </w:rPr>
            </w:r>
            <w:r/>
          </w:p>
        </w:tc>
        <w:tc>
          <w:tcPr>
            <w:tcW w:w="341" w:type="dxa"/>
            <w:vAlign w:val="center"/>
            <w:textDirection w:val="lrTb"/>
            <w:noWrap w:val="false"/>
          </w:tcPr>
          <w:p>
            <w:pPr>
              <w:pStyle w:val="973"/>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小计</w:t>
            </w:r>
            <w:r>
              <w:rPr>
                <w:rFonts w:hint="eastAsia" w:ascii="宋体" w:hAnsi="宋体" w:eastAsia="宋体" w:cs="宋体"/>
                <w:b/>
                <w:bCs/>
                <w:i w:val="0"/>
                <w:iCs w:val="0"/>
                <w:color w:val="000000"/>
                <w:sz w:val="18"/>
                <w:szCs w:val="18"/>
                <w:highlight w:val="none"/>
                <w:u w:val="none"/>
              </w:rPr>
            </w:r>
            <w:r/>
          </w:p>
        </w:tc>
        <w:tc>
          <w:tcPr>
            <w:tcW w:w="689" w:type="dxa"/>
            <w:vAlign w:val="center"/>
            <w:textDirection w:val="lrTb"/>
            <w:noWrap w:val="false"/>
          </w:tcPr>
          <w:p>
            <w:pPr>
              <w:pStyle w:val="973"/>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3"/>
            <w:tcW w:w="3427" w:type="dxa"/>
            <w:vAlign w:val="center"/>
            <w:textDirection w:val="lrTb"/>
            <w:noWrap/>
          </w:tcPr>
          <w:p>
            <w:pPr>
              <w:pStyle w:val="973"/>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124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w:t>
            </w:r>
            <w:r>
              <w:rPr>
                <w:rFonts w:hint="eastAsia" w:ascii="宋体" w:hAnsi="宋体" w:eastAsia="宋体" w:cs="宋体"/>
                <w:i w:val="0"/>
                <w:iCs w:val="0"/>
                <w:color w:val="000000"/>
                <w:sz w:val="18"/>
                <w:szCs w:val="18"/>
                <w:highlight w:val="none"/>
                <w:u w:val="none"/>
              </w:rPr>
            </w:r>
            <w:r/>
          </w:p>
        </w:tc>
        <w:tc>
          <w:tcPr>
            <w:tcW w:w="341" w:type="dxa"/>
            <w:vAlign w:val="center"/>
            <w:textDirection w:val="lrTb"/>
            <w:noWrap w:val="false"/>
          </w:tcPr>
          <w:p>
            <w:pPr>
              <w:pStyle w:val="973"/>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tcW w:w="68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暂列金</w:t>
            </w:r>
            <w:r>
              <w:rPr>
                <w:rFonts w:hint="eastAsia" w:ascii="宋体" w:hAnsi="宋体" w:eastAsia="宋体" w:cs="宋体"/>
                <w:i w:val="0"/>
                <w:iCs w:val="0"/>
                <w:color w:val="000000"/>
                <w:sz w:val="18"/>
                <w:szCs w:val="18"/>
                <w:highlight w:val="none"/>
                <w:u w:val="none"/>
              </w:rPr>
            </w:r>
            <w:r/>
          </w:p>
        </w:tc>
        <w:tc>
          <w:tcPr>
            <w:gridSpan w:val="3"/>
            <w:tcW w:w="3427" w:type="dxa"/>
            <w:vAlign w:val="center"/>
            <w:textDirection w:val="lrTb"/>
            <w:noWrap/>
          </w:tcPr>
          <w:p>
            <w:pPr>
              <w:pStyle w:val="973"/>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报价不可更改</w:t>
            </w:r>
            <w:r>
              <w:rPr>
                <w:rFonts w:hint="eastAsia" w:ascii="宋体" w:hAnsi="宋体" w:eastAsia="宋体" w:cs="宋体"/>
                <w:i w:val="0"/>
                <w:iCs w:val="0"/>
                <w:color w:val="000000"/>
                <w:sz w:val="18"/>
                <w:szCs w:val="18"/>
                <w:highlight w:val="none"/>
                <w:u w:val="none"/>
              </w:rPr>
            </w:r>
            <w:r/>
          </w:p>
        </w:tc>
        <w:tc>
          <w:tcPr>
            <w:tcW w:w="371"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525"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225758.5</w:t>
            </w:r>
            <w:r>
              <w:rPr>
                <w:rFonts w:hint="eastAsia" w:ascii="宋体" w:hAnsi="宋体" w:eastAsia="宋体" w:cs="宋体"/>
                <w:i w:val="0"/>
                <w:iCs w:val="0"/>
                <w:color w:val="000000"/>
                <w:sz w:val="18"/>
                <w:szCs w:val="18"/>
                <w:highlight w:val="none"/>
                <w:u w:val="none"/>
              </w:rPr>
            </w:r>
            <w:r/>
          </w:p>
        </w:tc>
        <w:tc>
          <w:tcPr>
            <w:tcW w:w="509"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22.57585</w:t>
            </w:r>
            <w:r>
              <w:rPr>
                <w:rFonts w:hint="eastAsia" w:ascii="宋体" w:hAnsi="宋体" w:eastAsia="宋体" w:cs="宋体"/>
                <w:i w:val="0"/>
                <w:iCs w:val="0"/>
                <w:color w:val="000000"/>
                <w:sz w:val="18"/>
                <w:szCs w:val="18"/>
                <w:highlight w:val="none"/>
                <w:u w:val="none"/>
              </w:rPr>
            </w:r>
            <w:r/>
          </w:p>
        </w:tc>
      </w:tr>
      <w:tr>
        <w:trPr>
          <w:trHeight w:val="1240"/>
        </w:trPr>
        <w:tc>
          <w:tcPr>
            <w:tcW w:w="30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w:t>
            </w:r>
            <w:r>
              <w:rPr>
                <w:rFonts w:hint="eastAsia" w:ascii="宋体" w:hAnsi="宋体" w:eastAsia="宋体" w:cs="宋体"/>
                <w:i w:val="0"/>
                <w:iCs w:val="0"/>
                <w:color w:val="000000"/>
                <w:sz w:val="18"/>
                <w:szCs w:val="18"/>
                <w:highlight w:val="none"/>
                <w:u w:val="none"/>
              </w:rPr>
            </w:r>
            <w:r/>
          </w:p>
        </w:tc>
        <w:tc>
          <w:tcPr>
            <w:gridSpan w:val="8"/>
            <w:tcW w:w="7943" w:type="dxa"/>
            <w:vAlign w:val="center"/>
            <w:textDirection w:val="lrTb"/>
            <w:noWrap w:val="false"/>
          </w:tcPr>
          <w:p>
            <w:pPr>
              <w:pStyle w:val="973"/>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合计</w:t>
            </w:r>
            <w:r>
              <w:rPr>
                <w:rFonts w:hint="eastAsia" w:ascii="宋体" w:hAnsi="宋体" w:eastAsia="宋体" w:cs="宋体"/>
                <w:b/>
                <w:bCs/>
                <w:i w:val="0"/>
                <w:iCs w:val="0"/>
                <w:color w:val="000000"/>
                <w:sz w:val="18"/>
                <w:szCs w:val="18"/>
                <w:highlight w:val="none"/>
                <w:u w:val="none"/>
              </w:rPr>
            </w:r>
            <w:r/>
          </w:p>
        </w:tc>
        <w:tc>
          <w:tcPr>
            <w:tcW w:w="509" w:type="dxa"/>
            <w:vAlign w:val="center"/>
            <w:textDirection w:val="lrTb"/>
            <w:noWrap w:val="false"/>
          </w:tcPr>
          <w:p>
            <w:pPr>
              <w:pStyle w:val="973"/>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bl>
    <w:p>
      <w:pPr>
        <w:pStyle w:val="973"/>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73"/>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73"/>
        <w:numPr>
          <w:ilvl w:val="0"/>
          <w:numId w:val="0"/>
        </w:numP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rPr>
        <w:t xml:space="preserve">投标报价采用总承包方式，</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投标总报价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color w:val="000000"/>
          <w:sz w:val="21"/>
          <w:szCs w:val="21"/>
          <w:highlight w:val="none"/>
        </w:rPr>
      </w:r>
      <w:r/>
    </w:p>
    <w:p>
      <w:pPr>
        <w:pStyle w:val="973"/>
        <w:numPr>
          <w:ilvl w:val="0"/>
          <w:numId w:val="0"/>
        </w:num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投标分项报价表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中</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投标总报价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数额应当与</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开标一览表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中</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投标总报价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数额一致。</w:t>
      </w:r>
      <w:r>
        <w:rPr>
          <w:rFonts w:hint="eastAsia" w:ascii="宋体" w:hAnsi="宋体" w:eastAsia="宋体" w:cs="Times New Roman"/>
          <w:color w:val="000000"/>
          <w:sz w:val="24"/>
          <w:szCs w:val="24"/>
          <w:highlight w:val="none"/>
        </w:rPr>
      </w:r>
      <w:r/>
    </w:p>
    <w:p>
      <w:pPr>
        <w:pStyle w:val="973"/>
        <w:rPr>
          <w:rFonts w:hint="eastAsia" w:ascii="宋体" w:hAnsi="宋体"/>
          <w:color w:val="000000"/>
          <w:szCs w:val="21"/>
          <w:highlight w:val="none"/>
        </w:rPr>
      </w:pPr>
      <w:r>
        <w:rPr>
          <w:rFonts w:hint="eastAsia" w:ascii="宋体" w:hAnsi="宋体"/>
          <w:color w:val="000000"/>
          <w:szCs w:val="21"/>
          <w:highlight w:val="none"/>
        </w:rPr>
      </w:r>
      <w:r/>
    </w:p>
    <w:p>
      <w:pPr>
        <w:pStyle w:val="975"/>
        <w:ind w:firstLine="3213"/>
        <w:rPr>
          <w:rFonts w:hint="eastAsia" w:ascii="宋体" w:hAnsi="宋体"/>
          <w:bCs w:val="0"/>
          <w:color w:val="000000"/>
          <w:highlight w:val="none"/>
        </w:rPr>
      </w:pPr>
      <w:r>
        <w:rPr>
          <w:rFonts w:hint="eastAsia" w:ascii="宋体" w:hAnsi="宋体"/>
          <w:bCs w:val="0"/>
          <w:color w:val="000000"/>
          <w:highlight w:val="none"/>
        </w:rPr>
      </w:r>
      <w:r/>
    </w:p>
    <w:p>
      <w:pPr>
        <w:pStyle w:val="981"/>
        <w:ind w:firstLine="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73"/>
        <w:jc w:val="left"/>
        <w:keepLines w:val="0"/>
        <w:keepNext w:val="0"/>
        <w:pageBreakBefore w:val="0"/>
        <w:spacing w:line="360" w:lineRule="auto"/>
        <w:widowControl w:val="off"/>
        <w:rPr>
          <w:rFonts w:ascii="宋体" w:hAnsi="宋体" w:cs="宋体"/>
          <w:sz w:val="32"/>
          <w:szCs w:val="32"/>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、技术要求响应及偏离表</w:t>
      </w:r>
      <w:r>
        <w:rPr>
          <w:rFonts w:ascii="宋体" w:hAnsi="宋体" w:cs="宋体"/>
          <w:sz w:val="32"/>
          <w:szCs w:val="32"/>
          <w:highlight w:val="none"/>
        </w:rPr>
      </w:r>
      <w:r/>
    </w:p>
    <w:p>
      <w:pPr>
        <w:pStyle w:val="975"/>
        <w:jc w:val="center"/>
        <w:rPr>
          <w:rFonts w:hint="eastAsia" w:ascii="宋体" w:hAnsi="宋体"/>
          <w:color w:val="000000"/>
          <w:sz w:val="28"/>
          <w:szCs w:val="28"/>
          <w:highlight w:val="none"/>
        </w:rPr>
      </w:pPr>
      <w:r/>
      <w:bookmarkStart w:id="94" w:name="_Toc12761"/>
      <w:r>
        <w:rPr>
          <w:rFonts w:hint="eastAsia" w:ascii="宋体" w:hAnsi="宋体"/>
          <w:color w:val="000000"/>
          <w:sz w:val="28"/>
          <w:szCs w:val="28"/>
          <w:highlight w:val="none"/>
        </w:rPr>
        <w:t xml:space="preserve">技术要求响应及偏离表</w:t>
      </w:r>
      <w:bookmarkEnd w:id="94"/>
      <w:r>
        <w:rPr>
          <w:rFonts w:hint="eastAsia" w:ascii="宋体" w:hAnsi="宋体"/>
          <w:color w:val="000000"/>
          <w:sz w:val="28"/>
          <w:szCs w:val="28"/>
          <w:highlight w:val="none"/>
        </w:rPr>
      </w:r>
      <w:r/>
    </w:p>
    <w:p>
      <w:pPr>
        <w:pStyle w:val="973"/>
        <w:rPr>
          <w:highlight w:val="none"/>
        </w:rPr>
      </w:pPr>
      <w:r>
        <w:rPr>
          <w:highlight w:val="none"/>
        </w:rPr>
      </w:r>
      <w:r/>
    </w:p>
    <w:tbl>
      <w:tblPr>
        <w:tblW w:w="8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2687"/>
        <w:gridCol w:w="2687"/>
        <w:gridCol w:w="1232"/>
        <w:gridCol w:w="1105"/>
      </w:tblGrid>
      <w:tr>
        <w:trPr>
          <w:cantSplit/>
          <w:trHeight w:val="642"/>
        </w:trPr>
        <w:tc>
          <w:tcPr>
            <w:tcW w:w="927"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687" w:type="dxa"/>
            <w:vAlign w:val="center"/>
            <w:textDirection w:val="lrTb"/>
            <w:noWrap w:val="false"/>
          </w:tcPr>
          <w:p>
            <w:pPr>
              <w:pStyle w:val="973"/>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招标文件要求</w:t>
            </w:r>
            <w:r>
              <w:rPr>
                <w:rFonts w:ascii="宋体" w:hAnsi="宋体"/>
                <w:color w:val="000000"/>
                <w:sz w:val="21"/>
                <w:szCs w:val="21"/>
                <w:highlight w:val="none"/>
              </w:rPr>
            </w:r>
            <w:r/>
          </w:p>
        </w:tc>
        <w:tc>
          <w:tcPr>
            <w:tcW w:w="2687" w:type="dxa"/>
            <w:vAlign w:val="center"/>
            <w:textDirection w:val="lrTb"/>
            <w:noWrap w:val="false"/>
          </w:tcPr>
          <w:p>
            <w:pPr>
              <w:pStyle w:val="973"/>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投标响应情况</w:t>
            </w:r>
            <w:r>
              <w:rPr>
                <w:rFonts w:ascii="宋体" w:hAnsi="宋体"/>
                <w:color w:val="000000"/>
                <w:sz w:val="21"/>
                <w:szCs w:val="21"/>
                <w:highlight w:val="none"/>
              </w:rPr>
            </w:r>
            <w:r/>
          </w:p>
        </w:tc>
        <w:tc>
          <w:tcPr>
            <w:tcW w:w="1232" w:type="dxa"/>
            <w:vAlign w:val="center"/>
            <w:textDirection w:val="lrTb"/>
            <w:noWrap w:val="false"/>
          </w:tcPr>
          <w:p>
            <w:pPr>
              <w:pStyle w:val="973"/>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超出、符合或偏离</w:t>
            </w:r>
            <w:r>
              <w:rPr>
                <w:rFonts w:ascii="宋体" w:hAnsi="宋体"/>
                <w:color w:val="000000"/>
                <w:sz w:val="21"/>
                <w:szCs w:val="21"/>
                <w:highlight w:val="none"/>
              </w:rPr>
            </w:r>
            <w:r/>
          </w:p>
        </w:tc>
        <w:tc>
          <w:tcPr>
            <w:tcW w:w="1105" w:type="dxa"/>
            <w:vAlign w:val="center"/>
            <w:textDirection w:val="lrTb"/>
            <w:noWrap w:val="false"/>
          </w:tcPr>
          <w:p>
            <w:pPr>
              <w:pStyle w:val="973"/>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证明</w:t>
            </w:r>
            <w:r>
              <w:rPr>
                <w:rFonts w:hint="eastAsia" w:ascii="宋体" w:hAnsi="宋体"/>
                <w:sz w:val="21"/>
                <w:szCs w:val="21"/>
                <w:highlight w:val="none"/>
              </w:rPr>
            </w:r>
            <w:r/>
          </w:p>
          <w:p>
            <w:pPr>
              <w:pStyle w:val="973"/>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材料</w:t>
            </w:r>
            <w:r>
              <w:rPr>
                <w:rFonts w:ascii="宋体" w:hAnsi="宋体"/>
                <w:color w:val="000000"/>
                <w:sz w:val="21"/>
                <w:szCs w:val="21"/>
                <w:highlight w:val="none"/>
              </w:rPr>
            </w:r>
            <w:r/>
          </w:p>
        </w:tc>
      </w:tr>
      <w:tr>
        <w:trPr>
          <w:cantSplit/>
          <w:trHeight w:val="644"/>
        </w:trPr>
        <w:tc>
          <w:tcPr>
            <w:tcW w:w="92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73"/>
              <w:jc w:val="center"/>
              <w:rPr>
                <w:rFonts w:ascii="宋体" w:hAnsi="宋体" w:eastAsia="宋体"/>
                <w:color w:val="000000"/>
                <w:szCs w:val="21"/>
                <w:highlight w:val="none"/>
                <w:lang w:val="en-US" w:eastAsia="zh-CN"/>
              </w:rPr>
            </w:pPr>
            <w:r>
              <w:rPr>
                <w:rFonts w:ascii="宋体" w:hAnsi="宋体" w:eastAsia="宋体"/>
                <w:color w:val="000000"/>
                <w:szCs w:val="21"/>
                <w:highlight w:val="none"/>
                <w:lang w:val="en-US" w:eastAsia="zh-CN"/>
              </w:rPr>
            </w:r>
            <w:r/>
          </w:p>
        </w:tc>
        <w:tc>
          <w:tcPr>
            <w:tcW w:w="268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r>
      <w:tr>
        <w:trPr>
          <w:cantSplit/>
          <w:trHeight w:val="654"/>
        </w:trPr>
        <w:tc>
          <w:tcPr>
            <w:tcW w:w="92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73"/>
              <w:jc w:val="center"/>
              <w:rPr>
                <w:rFonts w:ascii="宋体" w:hAnsi="宋体"/>
                <w:color w:val="000000"/>
                <w:szCs w:val="21"/>
                <w:highlight w:val="none"/>
              </w:rPr>
            </w:pPr>
            <w:r>
              <w:rPr>
                <w:rFonts w:ascii="宋体" w:hAnsi="宋体"/>
                <w:color w:val="000000"/>
                <w:szCs w:val="21"/>
                <w:highlight w:val="none"/>
              </w:rPr>
            </w:r>
            <w:r/>
          </w:p>
        </w:tc>
      </w:tr>
    </w:tbl>
    <w:p>
      <w:pPr>
        <w:pStyle w:val="973"/>
        <w:rPr>
          <w:rFonts w:ascii="宋体" w:hAnsi="宋体"/>
          <w:color w:val="000000"/>
          <w:sz w:val="24"/>
          <w:szCs w:val="24"/>
          <w:highlight w:val="none"/>
        </w:rPr>
      </w:pPr>
      <w:r>
        <w:rPr>
          <w:rFonts w:ascii="宋体" w:hAnsi="宋体"/>
          <w:color w:val="000000"/>
          <w:sz w:val="24"/>
          <w:szCs w:val="24"/>
          <w:highlight w:val="none"/>
        </w:rPr>
      </w:r>
      <w:r/>
    </w:p>
    <w:p>
      <w:pPr>
        <w:pStyle w:val="973"/>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注：行数不够，可自行添加</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76"/>
        <w:rPr>
          <w:highlight w:val="none"/>
        </w:rPr>
      </w:pPr>
      <w:r>
        <w:rPr>
          <w:highlight w:val="none"/>
        </w:rPr>
      </w:r>
      <w:r/>
    </w:p>
    <w:p>
      <w:pPr>
        <w:pStyle w:val="973"/>
        <w:jc w:val="center"/>
        <w:rPr>
          <w:rFonts w:ascii="黑体" w:hAnsi="Arial" w:eastAsia="黑体"/>
          <w:b/>
          <w:color w:val="000000"/>
          <w:sz w:val="36"/>
          <w:highlight w:val="none"/>
        </w:rPr>
      </w:pPr>
      <w:r>
        <w:rPr>
          <w:rFonts w:ascii="黑体" w:hAnsi="Arial" w:eastAsia="黑体"/>
          <w:b/>
          <w:color w:val="000000"/>
          <w:sz w:val="36"/>
          <w:highlight w:val="none"/>
        </w:rPr>
      </w:r>
      <w:r/>
    </w:p>
    <w:p>
      <w:pPr>
        <w:pStyle w:val="973"/>
        <w:jc w:val="left"/>
        <w:keepLines w:val="0"/>
        <w:keepNext w:val="0"/>
        <w:pageBreakBefore w:val="0"/>
        <w:spacing w:line="360" w:lineRule="auto"/>
        <w:widowControl w:val="off"/>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、商务要求响应及偏离表</w:t>
      </w:r>
      <w:r>
        <w:rPr>
          <w:rFonts w:ascii="宋体" w:hAnsi="宋体" w:cs="宋体"/>
          <w:sz w:val="32"/>
          <w:szCs w:val="32"/>
          <w:highlight w:val="none"/>
        </w:rPr>
      </w:r>
      <w:r/>
    </w:p>
    <w:p>
      <w:pPr>
        <w:pStyle w:val="975"/>
        <w:jc w:val="center"/>
        <w:rPr>
          <w:rFonts w:hint="eastAsia" w:ascii="宋体" w:hAnsi="宋体"/>
          <w:bCs w:val="0"/>
          <w:color w:val="000000"/>
          <w:sz w:val="28"/>
          <w:szCs w:val="28"/>
          <w:highlight w:val="none"/>
        </w:rPr>
      </w:pPr>
      <w:r/>
      <w:bookmarkStart w:id="95" w:name="_Toc113352363"/>
      <w:r/>
      <w:bookmarkStart w:id="96" w:name="_Toc15565"/>
      <w:r/>
      <w:bookmarkStart w:id="97" w:name="_Toc11513"/>
      <w:r/>
      <w:bookmarkStart w:id="98" w:name="_Toc11043"/>
      <w:r/>
      <w:bookmarkStart w:id="99" w:name="_Toc14047"/>
      <w:r>
        <w:rPr>
          <w:rFonts w:hint="eastAsia" w:ascii="宋体" w:hAnsi="宋体"/>
          <w:bCs w:val="0"/>
          <w:color w:val="000000"/>
          <w:sz w:val="28"/>
          <w:szCs w:val="28"/>
          <w:highlight w:val="none"/>
        </w:rPr>
        <w:t xml:space="preserve">商务</w:t>
      </w:r>
      <w:r>
        <w:rPr>
          <w:rFonts w:hint="eastAsia" w:ascii="宋体" w:hAnsi="宋体"/>
          <w:bCs w:val="0"/>
          <w:color w:val="000000"/>
          <w:sz w:val="28"/>
          <w:szCs w:val="28"/>
          <w:highlight w:val="none"/>
          <w:lang w:val="en-US" w:eastAsia="zh-CN"/>
        </w:rPr>
        <w:t xml:space="preserve">要求</w:t>
      </w:r>
      <w:r>
        <w:rPr>
          <w:rFonts w:hint="eastAsia" w:ascii="宋体" w:hAnsi="宋体"/>
          <w:bCs w:val="0"/>
          <w:color w:val="000000"/>
          <w:sz w:val="28"/>
          <w:szCs w:val="28"/>
          <w:highlight w:val="none"/>
        </w:rPr>
        <w:t xml:space="preserve">响应及偏离表</w:t>
      </w:r>
      <w:bookmarkEnd w:id="95"/>
      <w:r/>
      <w:bookmarkEnd w:id="96"/>
      <w:r/>
      <w:bookmarkEnd w:id="97"/>
      <w:r/>
      <w:bookmarkEnd w:id="98"/>
      <w:r/>
      <w:bookmarkEnd w:id="99"/>
      <w:r>
        <w:rPr>
          <w:rFonts w:hint="eastAsia" w:ascii="宋体" w:hAnsi="宋体"/>
          <w:bCs w:val="0"/>
          <w:color w:val="000000"/>
          <w:sz w:val="28"/>
          <w:szCs w:val="28"/>
          <w:highlight w:val="none"/>
        </w:rPr>
      </w:r>
      <w:r/>
    </w:p>
    <w:p>
      <w:pPr>
        <w:pStyle w:val="973"/>
        <w:rPr>
          <w:highlight w:val="none"/>
        </w:rPr>
      </w:pP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3015"/>
        <w:gridCol w:w="2852"/>
        <w:gridCol w:w="1308"/>
        <w:gridCol w:w="1173"/>
      </w:tblGrid>
      <w:tr>
        <w:trPr>
          <w:cantSplit/>
          <w:trHeight w:val="640"/>
        </w:trPr>
        <w:tc>
          <w:tcPr>
            <w:tcW w:w="821" w:type="dxa"/>
            <w:vAlign w:val="center"/>
            <w:textDirection w:val="lrTb"/>
            <w:noWrap w:val="false"/>
          </w:tcPr>
          <w:p>
            <w:pPr>
              <w:pStyle w:val="973"/>
              <w:jc w:val="center"/>
              <w:rPr>
                <w:rFonts w:ascii="宋体" w:hAnsi="宋体" w:cs="宋体"/>
                <w:sz w:val="21"/>
                <w:szCs w:val="21"/>
                <w:highlight w:val="none"/>
              </w:rPr>
            </w:pPr>
            <w:r>
              <w:rPr>
                <w:rFonts w:hint="eastAsia" w:ascii="宋体" w:hAnsi="宋体" w:cs="宋体"/>
                <w:sz w:val="21"/>
                <w:szCs w:val="21"/>
                <w:highlight w:val="none"/>
              </w:rPr>
              <w:t xml:space="preserve">序号</w:t>
            </w:r>
            <w:r>
              <w:rPr>
                <w:rFonts w:ascii="宋体" w:hAnsi="宋体" w:cs="宋体"/>
                <w:sz w:val="21"/>
                <w:szCs w:val="21"/>
                <w:highlight w:val="none"/>
              </w:rPr>
            </w:r>
            <w:r/>
          </w:p>
        </w:tc>
        <w:tc>
          <w:tcPr>
            <w:tcW w:w="3015" w:type="dxa"/>
            <w:vAlign w:val="center"/>
            <w:textDirection w:val="lrTb"/>
            <w:noWrap w:val="false"/>
          </w:tcPr>
          <w:p>
            <w:pPr>
              <w:pStyle w:val="973"/>
              <w:jc w:val="center"/>
              <w:rPr>
                <w:rFonts w:ascii="宋体" w:hAnsi="宋体" w:cs="宋体"/>
                <w:sz w:val="21"/>
                <w:szCs w:val="21"/>
                <w:highlight w:val="none"/>
              </w:rPr>
            </w:pPr>
            <w:r>
              <w:rPr>
                <w:rFonts w:hint="eastAsia" w:ascii="宋体" w:hAnsi="宋体" w:cs="宋体"/>
                <w:sz w:val="21"/>
                <w:szCs w:val="21"/>
                <w:highlight w:val="none"/>
              </w:rPr>
              <w:t xml:space="preserve">招标文件要求</w:t>
            </w:r>
            <w:r>
              <w:rPr>
                <w:rFonts w:ascii="宋体" w:hAnsi="宋体" w:cs="宋体"/>
                <w:sz w:val="21"/>
                <w:szCs w:val="21"/>
                <w:highlight w:val="none"/>
              </w:rPr>
            </w:r>
            <w:r/>
          </w:p>
        </w:tc>
        <w:tc>
          <w:tcPr>
            <w:tcW w:w="2852" w:type="dxa"/>
            <w:vAlign w:val="center"/>
            <w:textDirection w:val="lrTb"/>
            <w:noWrap w:val="false"/>
          </w:tcPr>
          <w:p>
            <w:pPr>
              <w:pStyle w:val="973"/>
              <w:jc w:val="center"/>
              <w:rPr>
                <w:rFonts w:ascii="宋体" w:hAnsi="宋体" w:cs="宋体"/>
                <w:sz w:val="21"/>
                <w:szCs w:val="21"/>
                <w:highlight w:val="none"/>
              </w:rPr>
            </w:pPr>
            <w:r>
              <w:rPr>
                <w:rFonts w:hint="eastAsia" w:ascii="宋体" w:hAnsi="宋体" w:cs="宋体"/>
                <w:sz w:val="21"/>
                <w:szCs w:val="21"/>
                <w:highlight w:val="none"/>
              </w:rPr>
              <w:t xml:space="preserve">投标响应情况</w:t>
            </w:r>
            <w:r>
              <w:rPr>
                <w:rFonts w:ascii="宋体" w:hAnsi="宋体" w:cs="宋体"/>
                <w:sz w:val="21"/>
                <w:szCs w:val="21"/>
                <w:highlight w:val="none"/>
              </w:rPr>
            </w:r>
            <w:r/>
          </w:p>
        </w:tc>
        <w:tc>
          <w:tcPr>
            <w:tcW w:w="1308" w:type="dxa"/>
            <w:vAlign w:val="center"/>
            <w:textDirection w:val="lrTb"/>
            <w:noWrap w:val="false"/>
          </w:tcPr>
          <w:p>
            <w:pPr>
              <w:pStyle w:val="973"/>
              <w:jc w:val="center"/>
              <w:rPr>
                <w:rFonts w:ascii="宋体" w:hAnsi="宋体" w:cs="宋体"/>
                <w:sz w:val="21"/>
                <w:szCs w:val="21"/>
                <w:highlight w:val="none"/>
              </w:rPr>
            </w:pPr>
            <w:r>
              <w:rPr>
                <w:rFonts w:hint="eastAsia" w:ascii="宋体" w:hAnsi="宋体" w:cs="宋体"/>
                <w:sz w:val="21"/>
                <w:szCs w:val="21"/>
                <w:highlight w:val="none"/>
              </w:rPr>
              <w:t xml:space="preserve">超出、符合或偏离</w:t>
            </w:r>
            <w:r>
              <w:rPr>
                <w:rFonts w:ascii="宋体" w:hAnsi="宋体" w:cs="宋体"/>
                <w:sz w:val="21"/>
                <w:szCs w:val="21"/>
                <w:highlight w:val="none"/>
              </w:rPr>
            </w:r>
            <w:r/>
          </w:p>
        </w:tc>
        <w:tc>
          <w:tcPr>
            <w:tcW w:w="1173" w:type="dxa"/>
            <w:vAlign w:val="center"/>
            <w:textDirection w:val="lrTb"/>
            <w:noWrap w:val="false"/>
          </w:tcPr>
          <w:p>
            <w:pPr>
              <w:pStyle w:val="973"/>
              <w:jc w:val="center"/>
              <w:rPr>
                <w:rFonts w:ascii="宋体" w:hAnsi="宋体" w:cs="宋体"/>
                <w:sz w:val="21"/>
                <w:szCs w:val="21"/>
                <w:highlight w:val="none"/>
              </w:rPr>
            </w:pPr>
            <w:r>
              <w:rPr>
                <w:rFonts w:hint="eastAsia" w:ascii="宋体" w:hAnsi="宋体" w:cs="宋体"/>
                <w:sz w:val="21"/>
                <w:szCs w:val="21"/>
                <w:highlight w:val="none"/>
              </w:rPr>
              <w:t xml:space="preserve">证明</w:t>
            </w:r>
            <w:r>
              <w:rPr>
                <w:rFonts w:ascii="宋体" w:hAnsi="宋体" w:cs="宋体"/>
                <w:sz w:val="21"/>
                <w:szCs w:val="21"/>
                <w:highlight w:val="none"/>
              </w:rPr>
            </w:r>
            <w:r/>
          </w:p>
          <w:p>
            <w:pPr>
              <w:pStyle w:val="973"/>
              <w:jc w:val="center"/>
              <w:rPr>
                <w:rFonts w:ascii="宋体" w:hAnsi="宋体" w:cs="宋体"/>
                <w:sz w:val="21"/>
                <w:szCs w:val="21"/>
                <w:highlight w:val="none"/>
              </w:rPr>
            </w:pPr>
            <w:r>
              <w:rPr>
                <w:rFonts w:hint="eastAsia" w:ascii="宋体" w:hAnsi="宋体" w:cs="宋体"/>
                <w:sz w:val="21"/>
                <w:szCs w:val="21"/>
                <w:highlight w:val="none"/>
              </w:rPr>
              <w:t xml:space="preserve">材料</w:t>
            </w: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73"/>
              <w:jc w:val="center"/>
              <w:rPr>
                <w:rFonts w:ascii="宋体" w:hAnsi="宋体" w:cs="宋体"/>
                <w:sz w:val="21"/>
                <w:szCs w:val="21"/>
                <w:highlight w:val="none"/>
              </w:rPr>
            </w:pPr>
            <w:r>
              <w:rPr>
                <w:rFonts w:hint="eastAsia" w:ascii="宋体" w:hAnsi="宋体" w:cs="宋体"/>
                <w:sz w:val="21"/>
                <w:szCs w:val="21"/>
                <w:highlight w:val="none"/>
              </w:rPr>
              <w:t xml:space="preserve">……</w:t>
            </w:r>
            <w:r>
              <w:rPr>
                <w:rFonts w:ascii="宋体" w:hAnsi="宋体" w:cs="宋体"/>
                <w:sz w:val="21"/>
                <w:szCs w:val="21"/>
                <w:highlight w:val="none"/>
              </w:rPr>
            </w:r>
            <w:r/>
          </w:p>
        </w:tc>
        <w:tc>
          <w:tcPr>
            <w:tcW w:w="2852"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73"/>
              <w:jc w:val="center"/>
              <w:rPr>
                <w:rFonts w:ascii="宋体" w:hAnsi="宋体" w:cs="宋体"/>
                <w:sz w:val="21"/>
                <w:szCs w:val="21"/>
                <w:highlight w:val="none"/>
              </w:rPr>
            </w:pPr>
            <w:r>
              <w:rPr>
                <w:rFonts w:ascii="宋体" w:hAnsi="宋体" w:cs="宋体"/>
                <w:sz w:val="21"/>
                <w:szCs w:val="21"/>
                <w:highlight w:val="none"/>
              </w:rPr>
            </w:r>
            <w:r/>
          </w:p>
        </w:tc>
      </w:tr>
    </w:tbl>
    <w:p>
      <w:pPr>
        <w:pStyle w:val="998"/>
        <w:spacing w:before="300" w:after="452" w:line="360" w:lineRule="auto"/>
        <w:widowControl/>
        <w:rPr>
          <w:rStyle w:val="1002"/>
          <w:rFonts w:hint="eastAsia" w:ascii="宋体" w:hAnsi="宋体" w:cs="仿宋"/>
          <w:color w:val="000000"/>
          <w:sz w:val="21"/>
          <w:szCs w:val="21"/>
          <w:highlight w:val="none"/>
        </w:rPr>
      </w:pPr>
      <w:r>
        <w:rPr>
          <w:rFonts w:hint="eastAsia" w:ascii="宋体" w:hAnsi="宋体" w:cs="宋体"/>
          <w:sz w:val="21"/>
          <w:szCs w:val="21"/>
          <w:highlight w:val="none"/>
        </w:rPr>
        <w:t xml:space="preserve">注： 行数不够，可自行添加。</w:t>
      </w:r>
      <w:r>
        <w:rPr>
          <w:rStyle w:val="1002"/>
          <w:rFonts w:hint="eastAsia" w:ascii="宋体" w:hAnsi="宋体" w:cs="仿宋"/>
          <w:color w:val="000000"/>
          <w:sz w:val="21"/>
          <w:szCs w:val="21"/>
          <w:highlight w:val="none"/>
        </w:rPr>
      </w:r>
      <w:r/>
    </w:p>
    <w:p>
      <w:pPr>
        <w:pStyle w:val="97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5"/>
        <w:jc w:val="left"/>
        <w:keepLines/>
        <w:keepNext/>
        <w:pageBreakBefore w:val="0"/>
        <w:spacing w:before="0" w:after="0" w:line="360" w:lineRule="auto"/>
        <w:widowControl w:val="off"/>
        <w:rPr>
          <w:rFonts w:hint="eastAsia" w:ascii="宋体" w:hAnsi="宋体"/>
          <w:b w:val="0"/>
          <w:bCs w:val="0"/>
          <w:color w:val="000000"/>
          <w:szCs w:val="21"/>
          <w:highlight w:val="none"/>
        </w:rPr>
      </w:pPr>
      <w:r>
        <w:rPr>
          <w:rFonts w:hint="eastAsia" w:ascii="宋体" w:hAnsi="宋体"/>
          <w:b w:val="0"/>
          <w:bCs w:val="0"/>
          <w:color w:val="000000"/>
          <w:szCs w:val="21"/>
          <w:highlight w:val="none"/>
        </w:rPr>
        <w:t xml:space="preserve"> </w:t>
      </w:r>
      <w:bookmarkStart w:id="100" w:name="_Toc8938"/>
      <w:r/>
      <w:bookmarkStart w:id="101" w:name="_Toc4311"/>
      <w:r/>
      <w:bookmarkStart w:id="102" w:name="_Toc6924"/>
      <w:r/>
      <w:bookmarkStart w:id="103" w:name="_Toc14628"/>
      <w:r>
        <w:rPr>
          <w:rFonts w:hint="eastAsia" w:ascii="宋体" w:hAnsi="宋体"/>
          <w:b w:val="0"/>
          <w:bCs w:val="0"/>
          <w:color w:val="000000"/>
          <w:szCs w:val="21"/>
          <w:highlight w:val="none"/>
        </w:rPr>
      </w:r>
      <w:r/>
    </w:p>
    <w:p>
      <w:pPr>
        <w:pStyle w:val="973"/>
        <w:jc w:val="left"/>
        <w:keepLines w:val="0"/>
        <w:keepNext w:val="0"/>
        <w:pageBreakBefore w:val="0"/>
        <w:spacing w:line="360" w:lineRule="auto"/>
        <w:widowControl w:val="off"/>
        <w:rPr>
          <w:rFonts w:hint="eastAsia" w:ascii="宋体" w:hAnsi="宋体"/>
          <w:b w:val="0"/>
          <w:bCs w:val="0"/>
          <w:color w:val="000000"/>
          <w:sz w:val="28"/>
          <w:szCs w:val="28"/>
          <w:highlight w:val="none"/>
        </w:rPr>
      </w:pPr>
      <w:r>
        <w:rPr>
          <w:rFonts w:hint="eastAsia" w:ascii="宋体" w:hAnsi="宋体"/>
          <w:b w:val="0"/>
          <w:bCs w:val="0"/>
          <w:color w:val="000000"/>
          <w:szCs w:val="21"/>
          <w:highlight w:val="none"/>
        </w:rPr>
        <w:br w:type="page" w:clear="all"/>
      </w:r>
      <w:r>
        <w:rPr>
          <w:rFonts w:hint="eastAsia" w:ascii="宋体" w:hAnsi="宋体" w:eastAsia="宋体" w:cs="宋体"/>
          <w:b/>
          <w:bCs/>
          <w:i/>
          <w:iCs/>
          <w:sz w:val="24"/>
          <w:szCs w:val="24"/>
          <w:highlight w:val="none"/>
          <w:u w:val="single"/>
        </w:rPr>
        <w:t xml:space="preserve">十</w:t>
      </w:r>
      <w:r>
        <w:rPr>
          <w:rFonts w:hint="eastAsia" w:ascii="宋体" w:hAnsi="宋体" w:eastAsia="宋体" w:cs="宋体"/>
          <w:b/>
          <w:bCs/>
          <w:i/>
          <w:iCs/>
          <w:sz w:val="24"/>
          <w:szCs w:val="24"/>
          <w:highlight w:val="none"/>
          <w:u w:val="single"/>
          <w:lang w:val="en-US" w:eastAsia="zh-CN"/>
        </w:rPr>
        <w:t xml:space="preserve">七</w:t>
      </w:r>
      <w:r>
        <w:rPr>
          <w:rFonts w:hint="eastAsia" w:ascii="宋体" w:hAnsi="宋体" w:eastAsia="宋体" w:cs="宋体"/>
          <w:b/>
          <w:bCs/>
          <w:i/>
          <w:iCs/>
          <w:sz w:val="24"/>
          <w:szCs w:val="24"/>
          <w:highlight w:val="none"/>
          <w:u w:val="single"/>
        </w:rPr>
        <w:t xml:space="preserve">、开标一览表</w:t>
      </w:r>
      <w:bookmarkEnd w:id="100"/>
      <w:r>
        <w:rPr>
          <w:rFonts w:hint="eastAsia" w:ascii="宋体" w:hAnsi="宋体"/>
          <w:b w:val="0"/>
          <w:bCs w:val="0"/>
          <w:color w:val="000000"/>
          <w:sz w:val="28"/>
          <w:szCs w:val="28"/>
          <w:highlight w:val="none"/>
        </w:rPr>
      </w:r>
      <w:r/>
    </w:p>
    <w:p>
      <w:pPr>
        <w:pStyle w:val="975"/>
        <w:jc w:val="center"/>
        <w:spacing w:line="360" w:lineRule="auto"/>
        <w:rPr>
          <w:rFonts w:eastAsia="仿宋_GB2312"/>
          <w:color w:val="000000"/>
          <w:sz w:val="28"/>
          <w:szCs w:val="28"/>
          <w:highlight w:val="none"/>
        </w:rPr>
      </w:pPr>
      <w:r/>
      <w:bookmarkStart w:id="104" w:name="_Toc3814"/>
      <w:r>
        <w:rPr>
          <w:rFonts w:hint="eastAsia" w:ascii="宋体" w:hAnsi="宋体"/>
          <w:color w:val="000000"/>
          <w:sz w:val="28"/>
          <w:szCs w:val="28"/>
          <w:highlight w:val="none"/>
        </w:rPr>
        <w:t xml:space="preserve">开标一览表</w:t>
      </w:r>
      <w:bookmarkEnd w:id="101"/>
      <w:r/>
      <w:bookmarkEnd w:id="102"/>
      <w:r/>
      <w:bookmarkEnd w:id="103"/>
      <w:r/>
      <w:bookmarkEnd w:id="104"/>
      <w:r>
        <w:rPr>
          <w:rFonts w:eastAsia="仿宋_GB2312"/>
          <w:color w:val="000000"/>
          <w:sz w:val="28"/>
          <w:szCs w:val="28"/>
          <w:highlight w:val="none"/>
        </w:rPr>
      </w:r>
      <w:r/>
    </w:p>
    <w:p>
      <w:pPr>
        <w:pStyle w:val="973"/>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rFonts w:hint="eastAsia" w:ascii="宋体" w:hAnsi="宋体"/>
          <w:sz w:val="24"/>
          <w:szCs w:val="24"/>
          <w:highlight w:val="none"/>
        </w:rPr>
      </w:r>
      <w:r/>
    </w:p>
    <w:p>
      <w:pPr>
        <w:pStyle w:val="973"/>
        <w:ind w:firstLine="480"/>
        <w:pageBreakBefore w:val="0"/>
        <w:spacing w:line="360" w:lineRule="auto"/>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73"/>
        <w:ind w:firstLine="480"/>
        <w:pageBreakBefore w:val="0"/>
        <w:spacing w:line="360" w:lineRule="auto"/>
        <w:rPr>
          <w:rFonts w:ascii="宋体" w:hAnsi="宋体"/>
          <w:sz w:val="24"/>
          <w:szCs w:val="24"/>
          <w:highlight w:val="none"/>
        </w:rPr>
      </w:pPr>
      <w:r>
        <w:rPr>
          <w:rFonts w:hint="eastAsia" w:ascii="宋体" w:hAnsi="宋体"/>
          <w:sz w:val="24"/>
          <w:szCs w:val="24"/>
          <w:highlight w:val="none"/>
        </w:rPr>
        <w:t xml:space="preserve">招标编号：                                   分包号：</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0"/>
      </w:tblGrid>
      <w:tr>
        <w:trPr>
          <w:cantSplit/>
          <w:trHeight w:val="912"/>
        </w:trPr>
        <w:tc>
          <w:tcPr>
            <w:tcW w:w="8900" w:type="dxa"/>
            <w:vAlign w:val="center"/>
            <w:textDirection w:val="lrTb"/>
            <w:noWrap w:val="false"/>
          </w:tcPr>
          <w:p>
            <w:pPr>
              <w:pStyle w:val="973"/>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72"/>
        </w:trPr>
        <w:tc>
          <w:tcPr>
            <w:tcW w:w="8900" w:type="dxa"/>
            <w:vAlign w:val="center"/>
            <w:textDirection w:val="lrTb"/>
            <w:noWrap w:val="false"/>
          </w:tcPr>
          <w:p>
            <w:pPr>
              <w:pStyle w:val="1028"/>
              <w:ind w:firstLine="0"/>
              <w:pageBreakBefore w:val="0"/>
              <w:spacing w:before="0" w:after="0" w:line="360" w:lineRule="auto"/>
              <w:rPr>
                <w:rFonts w:hint="eastAsia" w:ascii="宋体" w:hAnsi="宋体"/>
                <w:sz w:val="24"/>
                <w:szCs w:val="24"/>
                <w:highlight w:val="none"/>
              </w:rPr>
            </w:pPr>
            <w:r>
              <w:rPr>
                <w:rFonts w:hint="eastAsia" w:ascii="宋体" w:hAnsi="宋体" w:cs="宋体"/>
                <w:sz w:val="24"/>
                <w:szCs w:val="24"/>
                <w:highlight w:val="none"/>
              </w:rPr>
              <w:t xml:space="preserve">小写：                             （人民币：</w:t>
            </w:r>
            <w:r>
              <w:rPr>
                <w:rFonts w:hint="eastAsia" w:ascii="宋体" w:hAnsi="宋体"/>
                <w:sz w:val="24"/>
                <w:szCs w:val="24"/>
                <w:highlight w:val="none"/>
                <w:lang w:val="en-US" w:eastAsia="zh-CN"/>
              </w:rPr>
              <w:t xml:space="preserve">元</w:t>
            </w:r>
            <w:r>
              <w:rPr>
                <w:rFonts w:hint="eastAsia" w:ascii="宋体" w:hAnsi="宋体" w:cs="宋体"/>
                <w:sz w:val="24"/>
                <w:szCs w:val="24"/>
                <w:highlight w:val="none"/>
              </w:rPr>
              <w:t xml:space="preserve">）</w:t>
            </w:r>
            <w:r>
              <w:rPr>
                <w:rFonts w:hint="eastAsia" w:ascii="宋体" w:hAnsi="宋体"/>
                <w:sz w:val="24"/>
                <w:szCs w:val="24"/>
                <w:highlight w:val="none"/>
              </w:rPr>
            </w:r>
            <w:r/>
          </w:p>
        </w:tc>
      </w:tr>
      <w:tr>
        <w:trPr>
          <w:cantSplit/>
          <w:trHeight w:val="784"/>
        </w:trPr>
        <w:tc>
          <w:tcPr>
            <w:tcW w:w="8900" w:type="dxa"/>
            <w:vAlign w:val="center"/>
            <w:textDirection w:val="lrTb"/>
            <w:noWrap w:val="false"/>
          </w:tcPr>
          <w:p>
            <w:pPr>
              <w:pStyle w:val="1028"/>
              <w:ind w:firstLine="0"/>
              <w:pageBreakBefore w:val="0"/>
              <w:spacing w:before="0" w:after="0"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大写：                             （人民币：圆）</w:t>
            </w:r>
            <w:r>
              <w:rPr>
                <w:rFonts w:ascii="宋体" w:hAnsi="宋体" w:eastAsia="宋体" w:cs="宋体"/>
                <w:sz w:val="24"/>
                <w:szCs w:val="24"/>
                <w:highlight w:val="none"/>
                <w:lang w:val="en-US" w:eastAsia="zh-CN"/>
              </w:rPr>
            </w:r>
            <w:r/>
          </w:p>
        </w:tc>
      </w:tr>
    </w:tbl>
    <w:p>
      <w:pPr>
        <w:pStyle w:val="973"/>
        <w:pageBreakBefore w:val="0"/>
        <w:spacing w:line="360" w:lineRule="auto"/>
        <w:rPr>
          <w:rFonts w:ascii="宋体" w:hAnsi="宋体"/>
          <w:sz w:val="24"/>
          <w:szCs w:val="24"/>
          <w:highlight w:val="none"/>
        </w:rPr>
      </w:pPr>
      <w:r>
        <w:rPr>
          <w:rFonts w:ascii="宋体" w:hAnsi="宋体"/>
          <w:sz w:val="24"/>
          <w:szCs w:val="24"/>
          <w:highlight w:val="none"/>
        </w:rPr>
      </w:r>
      <w:r/>
    </w:p>
    <w:p>
      <w:pPr>
        <w:pStyle w:val="973"/>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hint="eastAsia" w:ascii="宋体" w:hAnsi="宋体"/>
          <w:sz w:val="24"/>
          <w:szCs w:val="24"/>
          <w:highlight w:val="none"/>
        </w:rPr>
      </w:r>
      <w:r/>
    </w:p>
    <w:p>
      <w:pPr>
        <w:pStyle w:val="975"/>
        <w:ind w:firstLine="3213"/>
        <w:rPr>
          <w:rFonts w:ascii="宋体" w:hAnsi="宋体"/>
          <w:bCs w:val="0"/>
          <w:color w:val="000000"/>
          <w:highlight w:val="none"/>
        </w:rPr>
      </w:pPr>
      <w:r>
        <w:rPr>
          <w:rFonts w:ascii="宋体" w:hAnsi="宋体"/>
          <w:bCs w:val="0"/>
          <w:color w:val="000000"/>
          <w:highlight w:val="none"/>
        </w:rPr>
      </w:r>
      <w:r/>
    </w:p>
    <w:p>
      <w:pPr>
        <w:pStyle w:val="981"/>
        <w:ind w:firstLine="640"/>
        <w:rPr>
          <w:rFonts w:ascii="宋体" w:hAnsi="宋体"/>
          <w:color w:val="000000"/>
          <w:sz w:val="32"/>
          <w:szCs w:val="32"/>
          <w:highlight w:val="none"/>
        </w:rPr>
      </w:pPr>
      <w:r>
        <w:rPr>
          <w:rFonts w:ascii="宋体" w:hAnsi="宋体"/>
          <w:color w:val="000000"/>
          <w:sz w:val="32"/>
          <w:szCs w:val="32"/>
          <w:highlight w:val="none"/>
        </w:rPr>
      </w:r>
      <w:r/>
    </w:p>
    <w:p>
      <w:pPr>
        <w:pStyle w:val="973"/>
        <w:rPr>
          <w:rFonts w:ascii="宋体" w:hAnsi="宋体"/>
          <w:color w:val="000000"/>
          <w:sz w:val="32"/>
          <w:szCs w:val="32"/>
          <w:highlight w:val="none"/>
        </w:rPr>
      </w:pPr>
      <w:r>
        <w:rPr>
          <w:rFonts w:ascii="宋体" w:hAnsi="宋体"/>
          <w:color w:val="000000"/>
          <w:sz w:val="32"/>
          <w:szCs w:val="32"/>
          <w:highlight w:val="none"/>
        </w:rPr>
      </w:r>
      <w:r/>
    </w:p>
    <w:p>
      <w:pPr>
        <w:pStyle w:val="973"/>
        <w:jc w:val="left"/>
        <w:keepLines w:val="0"/>
        <w:keepNext w:val="0"/>
        <w:pageBreakBefore w:val="0"/>
        <w:spacing w:line="360" w:lineRule="auto"/>
        <w:widowControl w:val="off"/>
        <w:rPr>
          <w:rFonts w:ascii="宋体" w:hAnsi="宋体"/>
          <w:color w:val="000000"/>
          <w:sz w:val="24"/>
          <w:highlight w:val="none"/>
        </w:rPr>
      </w:pPr>
      <w:r/>
      <w:bookmarkStart w:id="105" w:name="_Toc113352361"/>
      <w:r/>
      <w:bookmarkStart w:id="106" w:name="_Toc32648"/>
      <w:r>
        <w:rPr>
          <w:rFonts w:hint="eastAsia" w:ascii="宋体" w:hAnsi="宋体"/>
          <w:bCs/>
          <w:color w:val="000000"/>
          <w:highlight w:val="none"/>
        </w:rPr>
        <w:br w:type="page" w:clear="all"/>
      </w:r>
      <w:bookmarkEnd w:id="105"/>
      <w:r/>
      <w:bookmarkEnd w:id="106"/>
      <w:r>
        <w:rPr>
          <w:rFonts w:hint="eastAsia" w:ascii="宋体" w:hAnsi="宋体" w:eastAsia="宋体" w:cs="宋体"/>
          <w:b/>
          <w:bCs/>
          <w:i w:val="0"/>
          <w:iCs w:val="0"/>
          <w:sz w:val="24"/>
          <w:szCs w:val="24"/>
          <w:highlight w:val="none"/>
          <w:u w:val="none"/>
        </w:rPr>
        <w:t xml:space="preserve">十</w:t>
      </w:r>
      <w:r>
        <w:rPr>
          <w:rFonts w:hint="eastAsia" w:ascii="宋体" w:hAnsi="宋体" w:eastAsia="宋体" w:cs="宋体"/>
          <w:b/>
          <w:bCs/>
          <w:i w:val="0"/>
          <w:iCs w:val="0"/>
          <w:sz w:val="24"/>
          <w:szCs w:val="24"/>
          <w:highlight w:val="none"/>
          <w:u w:val="none"/>
          <w:lang w:val="en-US" w:eastAsia="zh-CN"/>
        </w:rPr>
        <w:t xml:space="preserve">八</w:t>
      </w:r>
      <w:r>
        <w:rPr>
          <w:rFonts w:hint="eastAsia" w:ascii="宋体" w:hAnsi="宋体" w:eastAsia="宋体" w:cs="宋体"/>
          <w:b/>
          <w:bCs/>
          <w:i w:val="0"/>
          <w:iCs w:val="0"/>
          <w:sz w:val="24"/>
          <w:szCs w:val="24"/>
          <w:highlight w:val="none"/>
          <w:u w:val="none"/>
        </w:rPr>
        <w:t xml:space="preserve">、主要标的信息</w:t>
      </w:r>
      <w:r>
        <w:rPr>
          <w:rFonts w:ascii="宋体" w:hAnsi="宋体"/>
          <w:color w:val="000000"/>
          <w:sz w:val="24"/>
          <w:highlight w:val="none"/>
        </w:rPr>
      </w:r>
      <w:r/>
    </w:p>
    <w:p>
      <w:pPr>
        <w:pStyle w:val="973"/>
        <w:jc w:val="center"/>
        <w:spacing w:before="312" w:line="360" w:lineRule="auto"/>
        <w:rPr>
          <w:rFonts w:ascii="宋体" w:hAnsi="宋体"/>
          <w:b/>
          <w:color w:val="000000"/>
          <w:highlight w:val="none"/>
        </w:rPr>
      </w:pPr>
      <w:r>
        <w:rPr>
          <w:rFonts w:hint="eastAsia" w:ascii="宋体" w:hAnsi="宋体"/>
          <w:b/>
          <w:color w:val="000000"/>
          <w:sz w:val="28"/>
          <w:szCs w:val="28"/>
          <w:highlight w:val="none"/>
        </w:rPr>
        <w:t xml:space="preserve">主要标的信息（中标后将公示）</w:t>
      </w:r>
      <w:r>
        <w:rPr>
          <w:rFonts w:ascii="宋体" w:hAnsi="宋体"/>
          <w:b/>
          <w:color w:val="000000"/>
          <w:highlight w:val="none"/>
        </w:rPr>
      </w:r>
      <w:r/>
    </w:p>
    <w:p>
      <w:pPr>
        <w:pStyle w:val="973"/>
        <w:spacing w:after="312" w:line="360" w:lineRule="auto"/>
        <w:rPr>
          <w:rFonts w:hint="eastAsia" w:ascii="宋体" w:hAnsi="宋体"/>
          <w:b/>
          <w:color w:val="000000"/>
          <w:highlight w:val="none"/>
        </w:rPr>
      </w:pPr>
      <w:r>
        <w:rPr>
          <w:rFonts w:hint="eastAsia" w:ascii="宋体" w:hAnsi="宋体"/>
          <w:color w:val="000000"/>
          <w:highlight w:val="none"/>
        </w:rPr>
        <w:t xml:space="preserve">投标人全称：</w:t>
      </w:r>
      <w:r>
        <w:rPr>
          <w:rFonts w:hint="eastAsia" w:ascii="宋体" w:hAnsi="宋体"/>
          <w:b/>
          <w:color w:val="000000"/>
          <w:highlight w:val="none"/>
        </w:rPr>
      </w:r>
      <w:r/>
    </w:p>
    <w:tbl>
      <w:tblPr>
        <w:tblW w:w="91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3"/>
      </w:tblGrid>
      <w:tr>
        <w:trPr>
          <w:trHeight w:val="624"/>
        </w:trPr>
        <w:tc>
          <w:tcPr>
            <w:tcW w:w="9153" w:type="dxa"/>
            <w:vAlign w:val="center"/>
            <w:textDirection w:val="lrTb"/>
            <w:noWrap w:val="false"/>
          </w:tcPr>
          <w:p>
            <w:pPr>
              <w:pStyle w:val="973"/>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2670"/>
        </w:trPr>
        <w:tc>
          <w:tcPr>
            <w:tcW w:w="9153" w:type="dxa"/>
            <w:vAlign w:val="top"/>
            <w:textDirection w:val="lrTb"/>
            <w:noWrap w:val="false"/>
          </w:tcPr>
          <w:p>
            <w:pPr>
              <w:pStyle w:val="973"/>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73"/>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973"/>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973"/>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973"/>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9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973"/>
                    </w:pPr>
                    <w:r/>
                    <w:r/>
                  </w:p>
                </w:txbxContent>
              </v:textbox>
            </v:shape>
          </w:pict>
        </mc:Fallback>
      </mc:AlternateContent>
    </w:r>
    <w:r/>
  </w:p>
  <w:p>
    <w:pPr>
      <w:pStyle w:val="99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both"/>
      <w:tabs>
        <w:tab w:val="center" w:pos="4153" w:leader="none"/>
        <w:tab w:val="right" w:pos="8306" w:leader="none"/>
      </w:tabs>
      <w:rPr>
        <w:b w:val="0"/>
        <w:bCs w:val="0"/>
        <w:sz w:val="18"/>
        <w:szCs w:val="18"/>
      </w:rPr>
      <w:pBdr>
        <w:bottom w:val="single" w:color="000000" w:sz="4" w:space="1"/>
      </w:pBdr>
    </w:pPr>
    <w:r>
      <w:rPr>
        <w:rFonts w:hint="eastAsia" w:ascii="宋体" w:hAnsi="宋体"/>
        <w:b w:val="0"/>
        <w:bCs w:val="0"/>
        <w:color w:val="000000"/>
        <w:sz w:val="18"/>
        <w:szCs w:val="18"/>
        <w:highlight w:val="none"/>
        <w:lang w:eastAsia="zh-CN"/>
      </w:rPr>
      <w:t xml:space="preserve">JSZC-321081-BYGC-G2026-0008</w:t>
    </w:r>
    <w:r>
      <w:rPr>
        <w:rFonts w:hint="eastAsia" w:ascii="宋体" w:hAnsi="宋体"/>
        <w:b w:val="0"/>
        <w:bCs w:val="0"/>
        <w:color w:val="000000"/>
        <w:sz w:val="18"/>
        <w:szCs w:val="18"/>
        <w:highlight w:val="none"/>
        <w:lang w:val="en-US" w:eastAsia="zh-CN"/>
      </w:rPr>
      <w:t xml:space="preserve">                                                </w:t>
    </w:r>
    <w:r>
      <w:rPr>
        <w:rFonts w:hint="eastAsia" w:ascii="宋体" w:hAnsi="宋体"/>
        <w:b w:val="0"/>
        <w:bCs w:val="0"/>
        <w:color w:val="000000"/>
        <w:sz w:val="18"/>
        <w:szCs w:val="18"/>
        <w:highlight w:val="none"/>
        <w:lang w:eastAsia="zh-CN"/>
      </w:rPr>
      <w:t xml:space="preserve">扬州博远工程咨询有限公司</w:t>
    </w:r>
    <w:r>
      <w:rPr>
        <w:b w:val="0"/>
        <w:bCs w:val="0"/>
        <w:sz w:val="18"/>
        <w:szCs w:val="18"/>
      </w:rPr>
    </w:r>
    <w:r/>
  </w:p>
  <w:p>
    <w:pPr>
      <w:pStyle w:val="99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73"/>
        <w:ind w:left="425" w:hanging="425"/>
      </w:pPr>
    </w:lvl>
    <w:lvl w:ilvl="1">
      <w:start w:val="1"/>
      <w:numFmt w:val="decimal"/>
      <w:isLgl w:val="false"/>
      <w:suff w:val="space"/>
      <w:lvlText w:val="%1.%2"/>
      <w:lvlJc w:val="left"/>
      <w:pPr>
        <w:pStyle w:val="973"/>
        <w:ind w:left="0" w:firstLine="0"/>
      </w:pPr>
    </w:lvl>
    <w:lvl w:ilvl="2">
      <w:start w:val="1"/>
      <w:numFmt w:val="decimal"/>
      <w:isLgl w:val="false"/>
      <w:suff w:val="space"/>
      <w:lvlText w:val="%1.%2.%3"/>
      <w:lvlJc w:val="left"/>
      <w:pPr>
        <w:pStyle w:val="973"/>
        <w:ind w:left="0" w:firstLine="0"/>
      </w:pPr>
    </w:lvl>
    <w:lvl w:ilvl="3">
      <w:start w:val="1"/>
      <w:numFmt w:val="decimal"/>
      <w:isLgl w:val="false"/>
      <w:suff w:val="space"/>
      <w:lvlText w:val="%1.%2.%3.%4"/>
      <w:lvlJc w:val="left"/>
      <w:pPr>
        <w:pStyle w:val="973"/>
        <w:ind w:left="0" w:firstLine="0"/>
      </w:pPr>
    </w:lvl>
    <w:lvl w:ilvl="4">
      <w:start w:val="1"/>
      <w:numFmt w:val="decimal"/>
      <w:isLgl w:val="false"/>
      <w:suff w:val="space"/>
      <w:lvlText w:val="%1.%2.%3.%4.%5"/>
      <w:lvlJc w:val="left"/>
      <w:pPr>
        <w:pStyle w:val="973"/>
        <w:ind w:left="0" w:firstLine="0"/>
      </w:pPr>
    </w:lvl>
    <w:lvl w:ilvl="5">
      <w:start w:val="1"/>
      <w:numFmt w:val="decimal"/>
      <w:isLgl w:val="false"/>
      <w:suff w:val="space"/>
      <w:lvlText w:val="%1.%2.%3.%4.%5.%6"/>
      <w:lvlJc w:val="left"/>
      <w:pPr>
        <w:pStyle w:val="973"/>
        <w:ind w:left="0" w:firstLine="0"/>
      </w:pPr>
    </w:lvl>
    <w:lvl w:ilvl="6">
      <w:start w:val="1"/>
      <w:numFmt w:val="decimal"/>
      <w:isLgl w:val="false"/>
      <w:suff w:val="space"/>
      <w:lvlText w:val="%1.%2.%3.%4.%5.%6.%7"/>
      <w:lvlJc w:val="left"/>
      <w:pPr>
        <w:pStyle w:val="973"/>
        <w:ind w:left="0" w:firstLine="0"/>
      </w:pPr>
    </w:lvl>
    <w:lvl w:ilvl="7">
      <w:start w:val="1"/>
      <w:numFmt w:val="decimal"/>
      <w:isLgl w:val="false"/>
      <w:suff w:val="space"/>
      <w:lvlText w:val="%1.%2.%3.%4.%5.%6.%7.%8"/>
      <w:lvlJc w:val="left"/>
      <w:pPr>
        <w:pStyle w:val="973"/>
        <w:ind w:left="0" w:firstLine="0"/>
      </w:pPr>
    </w:lvl>
    <w:lvl w:ilvl="8">
      <w:start w:val="1"/>
      <w:numFmt w:val="decimal"/>
      <w:isLgl w:val="false"/>
      <w:suff w:val="space"/>
      <w:lvlText w:val="%1.%2.%3.%4.%5.%6.%7.%8.%9"/>
      <w:lvlJc w:val="left"/>
      <w:pPr>
        <w:pStyle w:val="973"/>
        <w:ind w:left="0" w:firstLine="0"/>
      </w:pPr>
    </w:lvl>
  </w:abstractNum>
  <w:abstractNum w:abstractNumId="1">
    <w:multiLevelType w:val="hybridMultilevel"/>
    <w:lvl w:ilvl="0">
      <w:start w:val="1"/>
      <w:numFmt w:val="decimal"/>
      <w:isLgl w:val="false"/>
      <w:suff w:val="nothing"/>
      <w:lvlText w:val="%1、"/>
      <w:lvlJc w:val="left"/>
      <w:pPr>
        <w:pStyle w:val="973"/>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85"/>
      <w:isLgl w:val="false"/>
      <w:suff w:val="tab"/>
      <w:lvlText w:val=""/>
      <w:lvlJc w:val="left"/>
      <w:pPr>
        <w:pStyle w:val="973"/>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pStyle w:val="9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9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chineseCounting"/>
      <w:isLgl w:val="false"/>
      <w:suff w:val="nothing"/>
      <w:lvlText w:val="%1、"/>
      <w:lvlJc w:val="left"/>
      <w:pPr>
        <w:pStyle w:val="973"/>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pStyle w:val="9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pStyle w:val="973"/>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pStyle w:val="9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pStyle w:val="973"/>
        <w:ind w:left="900" w:hanging="420"/>
      </w:pPr>
      <w:rPr>
        <w:rFonts w:ascii="Wingdings" w:hAnsi="Wingdings"/>
      </w:rPr>
    </w:lvl>
    <w:lvl w:ilvl="1">
      <w:start w:val="1"/>
      <w:numFmt w:val="bullet"/>
      <w:isLgl w:val="false"/>
      <w:suff w:val="tab"/>
      <w:lvlText w:val=""/>
      <w:lvlJc w:val="left"/>
      <w:pPr>
        <w:pStyle w:val="973"/>
        <w:ind w:left="1320" w:hanging="420"/>
      </w:pPr>
      <w:rPr>
        <w:rFonts w:ascii="Wingdings" w:hAnsi="Wingdings"/>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11">
    <w:multiLevelType w:val="hybridMultilevel"/>
    <w:lvl w:ilvl="0">
      <w:start w:val="10"/>
      <w:numFmt w:val="decimal"/>
      <w:isLgl w:val="false"/>
      <w:suff w:val="nothing"/>
      <w:lvlText w:val="%1、"/>
      <w:lvlJc w:val="left"/>
      <w:pPr>
        <w:pStyle w:val="9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isLgl w:val="false"/>
      <w:suff w:val="tab"/>
      <w:lvlText w:val=""/>
      <w:lvlJc w:val="left"/>
      <w:pPr>
        <w:pStyle w:val="973"/>
        <w:ind w:left="900" w:hanging="420"/>
      </w:pPr>
      <w:rPr>
        <w:rFonts w:ascii="Wingdings" w:hAnsi="Wingdings"/>
      </w:rPr>
    </w:lvl>
    <w:lvl w:ilvl="1">
      <w:start w:val="1"/>
      <w:numFmt w:val="bullet"/>
      <w:isLgl w:val="false"/>
      <w:suff w:val="tab"/>
      <w:lvlText w:val=""/>
      <w:lvlJc w:val="left"/>
      <w:pPr>
        <w:pStyle w:val="973"/>
        <w:ind w:left="1320" w:hanging="420"/>
      </w:pPr>
      <w:rPr>
        <w:rFonts w:ascii="Wingdings" w:hAnsi="Wingdings"/>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13">
    <w:multiLevelType w:val="hybridMultilevel"/>
    <w:lvl w:ilvl="0">
      <w:start w:val="1"/>
      <w:numFmt w:val="bullet"/>
      <w:isLgl w:val="false"/>
      <w:suff w:val="tab"/>
      <w:lvlText w:val=""/>
      <w:lvlJc w:val="left"/>
      <w:pPr>
        <w:pStyle w:val="973"/>
        <w:ind w:left="900" w:hanging="420"/>
      </w:pPr>
      <w:rPr>
        <w:rFonts w:ascii="Wingdings" w:hAnsi="Wingdings"/>
      </w:rPr>
    </w:lvl>
    <w:lvl w:ilvl="1">
      <w:start w:val="1"/>
      <w:numFmt w:val="bullet"/>
      <w:isLgl w:val="false"/>
      <w:suff w:val="tab"/>
      <w:lvlText w:val=""/>
      <w:lvlJc w:val="left"/>
      <w:pPr>
        <w:pStyle w:val="973"/>
        <w:ind w:left="1320" w:hanging="420"/>
      </w:pPr>
      <w:rPr>
        <w:rFonts w:ascii="Wingdings" w:hAnsi="Wingdings"/>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14">
    <w:multiLevelType w:val="hybridMultilevel"/>
    <w:lvl w:ilvl="0">
      <w:start w:val="1"/>
      <w:numFmt w:val="bullet"/>
      <w:isLgl w:val="false"/>
      <w:suff w:val="tab"/>
      <w:lvlText w:val=""/>
      <w:lvlJc w:val="left"/>
      <w:pPr>
        <w:pStyle w:val="973"/>
        <w:ind w:left="900" w:hanging="420"/>
      </w:pPr>
      <w:rPr>
        <w:rFonts w:ascii="Wingdings" w:hAnsi="Wingdings"/>
      </w:rPr>
    </w:lvl>
    <w:lvl w:ilvl="1">
      <w:start w:val="1"/>
      <w:numFmt w:val="bullet"/>
      <w:isLgl w:val="false"/>
      <w:suff w:val="tab"/>
      <w:lvlText w:val=""/>
      <w:lvlJc w:val="left"/>
      <w:pPr>
        <w:pStyle w:val="973"/>
        <w:ind w:left="1320" w:hanging="420"/>
      </w:pPr>
      <w:rPr>
        <w:rFonts w:ascii="Wingdings" w:hAnsi="Wingdings"/>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15">
    <w:multiLevelType w:val="hybridMultilevel"/>
    <w:lvl w:ilvl="0">
      <w:start w:val="1"/>
      <w:numFmt w:val="bullet"/>
      <w:isLgl w:val="false"/>
      <w:suff w:val="tab"/>
      <w:lvlText w:val=""/>
      <w:lvlJc w:val="left"/>
      <w:pPr>
        <w:pStyle w:val="973"/>
        <w:ind w:left="900" w:hanging="420"/>
      </w:pPr>
      <w:rPr>
        <w:rFonts w:ascii="Wingdings" w:hAnsi="Wingdings"/>
      </w:rPr>
    </w:lvl>
    <w:lvl w:ilvl="1">
      <w:start w:val="1"/>
      <w:numFmt w:val="bullet"/>
      <w:isLgl w:val="false"/>
      <w:suff w:val="tab"/>
      <w:lvlText w:val=""/>
      <w:lvlJc w:val="left"/>
      <w:pPr>
        <w:pStyle w:val="973"/>
        <w:ind w:left="1320" w:hanging="420"/>
      </w:pPr>
      <w:rPr>
        <w:rFonts w:ascii="Wingdings" w:hAnsi="Wingdings"/>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16">
    <w:multiLevelType w:val="hybridMultilevel"/>
    <w:lvl w:ilvl="0">
      <w:start w:val="1"/>
      <w:numFmt w:val="chineseCounting"/>
      <w:isLgl w:val="false"/>
      <w:suff w:val="space"/>
      <w:lvlText w:val="第%1章"/>
      <w:lvlJc w:val="left"/>
      <w:pPr>
        <w:pStyle w:val="9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pStyle w:val="973"/>
        <w:ind w:left="900" w:hanging="420"/>
      </w:pPr>
      <w:rPr>
        <w:rFonts w:ascii="Wingdings" w:hAnsi="Wingdings"/>
      </w:rPr>
    </w:lvl>
    <w:lvl w:ilvl="1">
      <w:start w:val="0"/>
      <w:numFmt w:val="bullet"/>
      <w:isLgl w:val="false"/>
      <w:suff w:val="tab"/>
      <w:lvlText w:val="-"/>
      <w:lvlJc w:val="left"/>
      <w:pPr>
        <w:pStyle w:val="973"/>
        <w:ind w:left="1260" w:hanging="360"/>
      </w:pPr>
      <w:rPr>
        <w:rFonts w:ascii="Times New Roman" w:hAnsi="Times New Roman" w:eastAsia="仿宋" w:cs="Times New Roman"/>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20">
    <w:multiLevelType w:val="hybridMultilevel"/>
    <w:lvl w:ilvl="0">
      <w:start w:val="1"/>
      <w:numFmt w:val="bullet"/>
      <w:isLgl w:val="false"/>
      <w:suff w:val="tab"/>
      <w:lvlText w:val=""/>
      <w:lvlJc w:val="left"/>
      <w:pPr>
        <w:pStyle w:val="973"/>
        <w:ind w:left="900" w:hanging="420"/>
      </w:pPr>
      <w:rPr>
        <w:rFonts w:ascii="Wingdings" w:hAnsi="Wingdings"/>
      </w:rPr>
    </w:lvl>
    <w:lvl w:ilvl="1">
      <w:start w:val="1"/>
      <w:numFmt w:val="bullet"/>
      <w:isLgl w:val="false"/>
      <w:suff w:val="tab"/>
      <w:lvlText w:val=""/>
      <w:lvlJc w:val="left"/>
      <w:pPr>
        <w:pStyle w:val="973"/>
        <w:ind w:left="1320" w:hanging="420"/>
      </w:pPr>
      <w:rPr>
        <w:rFonts w:ascii="Wingdings" w:hAnsi="Wingdings"/>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21">
    <w:multiLevelType w:val="hybridMultilevel"/>
    <w:lvl w:ilvl="0">
      <w:start w:val="1"/>
      <w:numFmt w:val="bullet"/>
      <w:isLgl w:val="false"/>
      <w:suff w:val="tab"/>
      <w:lvlText w:val=""/>
      <w:lvlJc w:val="left"/>
      <w:pPr>
        <w:pStyle w:val="973"/>
        <w:ind w:left="900" w:hanging="420"/>
      </w:pPr>
      <w:rPr>
        <w:rFonts w:ascii="Wingdings" w:hAnsi="Wingdings"/>
      </w:rPr>
    </w:lvl>
    <w:lvl w:ilvl="1">
      <w:start w:val="1"/>
      <w:numFmt w:val="bullet"/>
      <w:isLgl w:val="false"/>
      <w:suff w:val="tab"/>
      <w:lvlText w:val=""/>
      <w:lvlJc w:val="left"/>
      <w:pPr>
        <w:pStyle w:val="973"/>
        <w:ind w:left="1320" w:hanging="420"/>
      </w:pPr>
      <w:rPr>
        <w:rFonts w:ascii="Wingdings" w:hAnsi="Wingdings"/>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22">
    <w:multiLevelType w:val="hybridMultilevel"/>
    <w:lvl w:ilvl="0">
      <w:start w:val="1"/>
      <w:numFmt w:val="bullet"/>
      <w:isLgl w:val="false"/>
      <w:suff w:val="tab"/>
      <w:lvlText w:val=""/>
      <w:lvlJc w:val="left"/>
      <w:pPr>
        <w:pStyle w:val="973"/>
        <w:ind w:left="900" w:hanging="420"/>
      </w:pPr>
      <w:rPr>
        <w:rFonts w:ascii="Wingdings" w:hAnsi="Wingdings"/>
      </w:rPr>
    </w:lvl>
    <w:lvl w:ilvl="1">
      <w:start w:val="1"/>
      <w:numFmt w:val="bullet"/>
      <w:isLgl w:val="false"/>
      <w:suff w:val="tab"/>
      <w:lvlText w:val=""/>
      <w:lvlJc w:val="left"/>
      <w:pPr>
        <w:pStyle w:val="973"/>
        <w:ind w:left="1320" w:hanging="420"/>
      </w:pPr>
      <w:rPr>
        <w:rFonts w:ascii="Wingdings" w:hAnsi="Wingdings"/>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23">
    <w:multiLevelType w:val="hybridMultilevel"/>
    <w:lvl w:ilvl="0">
      <w:start w:val="1"/>
      <w:numFmt w:val="bullet"/>
      <w:isLgl w:val="false"/>
      <w:suff w:val="tab"/>
      <w:lvlText w:val=""/>
      <w:lvlJc w:val="left"/>
      <w:pPr>
        <w:pStyle w:val="973"/>
        <w:ind w:left="900" w:hanging="420"/>
      </w:pPr>
      <w:rPr>
        <w:rFonts w:ascii="Wingdings" w:hAnsi="Wingdings"/>
      </w:rPr>
    </w:lvl>
    <w:lvl w:ilvl="1">
      <w:start w:val="1"/>
      <w:numFmt w:val="bullet"/>
      <w:isLgl w:val="false"/>
      <w:suff w:val="tab"/>
      <w:lvlText w:val=""/>
      <w:lvlJc w:val="left"/>
      <w:pPr>
        <w:pStyle w:val="973"/>
        <w:ind w:left="1320" w:hanging="420"/>
      </w:pPr>
      <w:rPr>
        <w:rFonts w:ascii="Wingdings" w:hAnsi="Wingdings"/>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24">
    <w:multiLevelType w:val="hybridMultilevel"/>
    <w:lvl w:ilvl="0">
      <w:start w:val="1"/>
      <w:numFmt w:val="bullet"/>
      <w:isLgl w:val="false"/>
      <w:suff w:val="tab"/>
      <w:lvlText w:val=""/>
      <w:lvlJc w:val="left"/>
      <w:pPr>
        <w:pStyle w:val="973"/>
        <w:ind w:left="900" w:hanging="420"/>
      </w:pPr>
      <w:rPr>
        <w:rFonts w:ascii="Wingdings" w:hAnsi="Wingdings"/>
      </w:rPr>
    </w:lvl>
    <w:lvl w:ilvl="1">
      <w:start w:val="1"/>
      <w:numFmt w:val="bullet"/>
      <w:isLgl w:val="false"/>
      <w:suff w:val="tab"/>
      <w:lvlText w:val=""/>
      <w:lvlJc w:val="left"/>
      <w:pPr>
        <w:pStyle w:val="973"/>
        <w:ind w:left="1320" w:hanging="420"/>
      </w:pPr>
      <w:rPr>
        <w:rFonts w:ascii="Wingdings" w:hAnsi="Wingdings"/>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25">
    <w:multiLevelType w:val="hybridMultilevel"/>
    <w:lvl w:ilvl="0">
      <w:start w:val="1"/>
      <w:numFmt w:val="bullet"/>
      <w:isLgl w:val="false"/>
      <w:suff w:val="tab"/>
      <w:lvlText w:val=""/>
      <w:lvlJc w:val="left"/>
      <w:pPr>
        <w:pStyle w:val="973"/>
        <w:ind w:left="900" w:hanging="420"/>
      </w:pPr>
      <w:rPr>
        <w:rFonts w:ascii="Wingdings" w:hAnsi="Wingdings"/>
      </w:rPr>
    </w:lvl>
    <w:lvl w:ilvl="1">
      <w:start w:val="1"/>
      <w:numFmt w:val="bullet"/>
      <w:isLgl w:val="false"/>
      <w:suff w:val="tab"/>
      <w:lvlText w:val=""/>
      <w:lvlJc w:val="left"/>
      <w:pPr>
        <w:pStyle w:val="973"/>
        <w:ind w:left="1320" w:hanging="420"/>
      </w:pPr>
      <w:rPr>
        <w:rFonts w:ascii="Wingdings" w:hAnsi="Wingdings"/>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26">
    <w:multiLevelType w:val="hybridMultilevel"/>
    <w:lvl w:ilvl="0">
      <w:start w:val="1"/>
      <w:numFmt w:val="bullet"/>
      <w:isLgl w:val="false"/>
      <w:suff w:val="tab"/>
      <w:lvlText w:val=""/>
      <w:lvlJc w:val="left"/>
      <w:pPr>
        <w:pStyle w:val="973"/>
        <w:ind w:left="900" w:hanging="420"/>
      </w:pPr>
      <w:rPr>
        <w:rFonts w:ascii="Wingdings" w:hAnsi="Wingdings"/>
      </w:rPr>
    </w:lvl>
    <w:lvl w:ilvl="1">
      <w:start w:val="1"/>
      <w:numFmt w:val="bullet"/>
      <w:isLgl w:val="false"/>
      <w:suff w:val="tab"/>
      <w:lvlText w:val=""/>
      <w:lvlJc w:val="left"/>
      <w:pPr>
        <w:pStyle w:val="973"/>
        <w:ind w:left="1320" w:hanging="420"/>
      </w:pPr>
      <w:rPr>
        <w:rFonts w:ascii="Wingdings" w:hAnsi="Wingdings"/>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27">
    <w:multiLevelType w:val="hybridMultilevel"/>
    <w:lvl w:ilvl="0">
      <w:start w:val="1"/>
      <w:numFmt w:val="bullet"/>
      <w:isLgl w:val="false"/>
      <w:suff w:val="tab"/>
      <w:lvlText w:val=""/>
      <w:lvlJc w:val="left"/>
      <w:pPr>
        <w:pStyle w:val="973"/>
        <w:ind w:left="900" w:hanging="420"/>
      </w:pPr>
      <w:rPr>
        <w:rFonts w:ascii="Wingdings" w:hAnsi="Wingdings"/>
      </w:rPr>
    </w:lvl>
    <w:lvl w:ilvl="1">
      <w:start w:val="1"/>
      <w:numFmt w:val="bullet"/>
      <w:isLgl w:val="false"/>
      <w:suff w:val="tab"/>
      <w:lvlText w:val=""/>
      <w:lvlJc w:val="left"/>
      <w:pPr>
        <w:pStyle w:val="973"/>
        <w:ind w:left="1320" w:hanging="420"/>
      </w:pPr>
      <w:rPr>
        <w:rFonts w:ascii="Wingdings" w:hAnsi="Wingdings"/>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28">
    <w:multiLevelType w:val="hybridMultilevel"/>
    <w:lvl w:ilvl="0">
      <w:start w:val="1"/>
      <w:numFmt w:val="bullet"/>
      <w:isLgl w:val="false"/>
      <w:suff w:val="tab"/>
      <w:lvlText w:val=""/>
      <w:lvlJc w:val="left"/>
      <w:pPr>
        <w:pStyle w:val="973"/>
        <w:ind w:left="900" w:hanging="420"/>
      </w:pPr>
      <w:rPr>
        <w:rFonts w:ascii="Wingdings" w:hAnsi="Wingdings"/>
      </w:rPr>
    </w:lvl>
    <w:lvl w:ilvl="1">
      <w:start w:val="1"/>
      <w:numFmt w:val="bullet"/>
      <w:isLgl w:val="false"/>
      <w:suff w:val="tab"/>
      <w:lvlText w:val=""/>
      <w:lvlJc w:val="left"/>
      <w:pPr>
        <w:pStyle w:val="973"/>
        <w:ind w:left="1320" w:hanging="420"/>
      </w:pPr>
      <w:rPr>
        <w:rFonts w:ascii="Wingdings" w:hAnsi="Wingdings"/>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29">
    <w:multiLevelType w:val="hybridMultilevel"/>
    <w:lvl w:ilvl="0">
      <w:start w:val="1"/>
      <w:numFmt w:val="bullet"/>
      <w:isLgl w:val="false"/>
      <w:suff w:val="tab"/>
      <w:lvlText w:val=""/>
      <w:lvlJc w:val="left"/>
      <w:pPr>
        <w:pStyle w:val="973"/>
        <w:ind w:left="900" w:hanging="420"/>
      </w:pPr>
      <w:rPr>
        <w:rFonts w:ascii="Wingdings" w:hAnsi="Wingdings"/>
      </w:rPr>
    </w:lvl>
    <w:lvl w:ilvl="1">
      <w:start w:val="0"/>
      <w:numFmt w:val="bullet"/>
      <w:isLgl w:val="false"/>
      <w:suff w:val="tab"/>
      <w:lvlText w:val="-"/>
      <w:lvlJc w:val="left"/>
      <w:pPr>
        <w:pStyle w:val="973"/>
        <w:ind w:left="1260" w:hanging="360"/>
      </w:pPr>
      <w:rPr>
        <w:rFonts w:ascii="Times New Roman" w:hAnsi="Times New Roman" w:eastAsia="仿宋" w:cs="Times New Roman"/>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abstractNum w:abstractNumId="30">
    <w:multiLevelType w:val="hybridMultilevel"/>
    <w:lvl w:ilvl="0">
      <w:start w:val="1"/>
      <w:numFmt w:val="bullet"/>
      <w:isLgl w:val="false"/>
      <w:suff w:val="tab"/>
      <w:lvlText w:val=""/>
      <w:lvlJc w:val="left"/>
      <w:pPr>
        <w:pStyle w:val="973"/>
        <w:ind w:left="900" w:hanging="420"/>
      </w:pPr>
      <w:rPr>
        <w:rFonts w:ascii="Wingdings" w:hAnsi="Wingdings"/>
      </w:rPr>
    </w:lvl>
    <w:lvl w:ilvl="1">
      <w:start w:val="0"/>
      <w:numFmt w:val="bullet"/>
      <w:isLgl w:val="false"/>
      <w:suff w:val="tab"/>
      <w:lvlText w:val="-"/>
      <w:lvlJc w:val="left"/>
      <w:pPr>
        <w:pStyle w:val="973"/>
        <w:ind w:left="1260" w:hanging="360"/>
      </w:pPr>
      <w:rPr>
        <w:rFonts w:ascii="Times New Roman" w:hAnsi="Times New Roman" w:eastAsia="仿宋" w:cs="Times New Roman"/>
      </w:rPr>
    </w:lvl>
    <w:lvl w:ilvl="2">
      <w:start w:val="1"/>
      <w:numFmt w:val="bullet"/>
      <w:isLgl w:val="false"/>
      <w:suff w:val="tab"/>
      <w:lvlText w:val=""/>
      <w:lvlJc w:val="left"/>
      <w:pPr>
        <w:pStyle w:val="973"/>
        <w:ind w:left="1740" w:hanging="420"/>
      </w:pPr>
      <w:rPr>
        <w:rFonts w:ascii="Wingdings" w:hAnsi="Wingdings"/>
      </w:rPr>
    </w:lvl>
    <w:lvl w:ilvl="3">
      <w:start w:val="1"/>
      <w:numFmt w:val="bullet"/>
      <w:isLgl w:val="false"/>
      <w:suff w:val="tab"/>
      <w:lvlText w:val=""/>
      <w:lvlJc w:val="left"/>
      <w:pPr>
        <w:pStyle w:val="973"/>
        <w:ind w:left="2160" w:hanging="420"/>
      </w:pPr>
      <w:rPr>
        <w:rFonts w:ascii="Wingdings" w:hAnsi="Wingdings"/>
      </w:rPr>
    </w:lvl>
    <w:lvl w:ilvl="4">
      <w:start w:val="1"/>
      <w:numFmt w:val="bullet"/>
      <w:isLgl w:val="false"/>
      <w:suff w:val="tab"/>
      <w:lvlText w:val=""/>
      <w:lvlJc w:val="left"/>
      <w:pPr>
        <w:pStyle w:val="973"/>
        <w:ind w:left="2580" w:hanging="420"/>
      </w:pPr>
      <w:rPr>
        <w:rFonts w:ascii="Wingdings" w:hAnsi="Wingdings"/>
      </w:rPr>
    </w:lvl>
    <w:lvl w:ilvl="5">
      <w:start w:val="1"/>
      <w:numFmt w:val="bullet"/>
      <w:isLgl w:val="false"/>
      <w:suff w:val="tab"/>
      <w:lvlText w:val=""/>
      <w:lvlJc w:val="left"/>
      <w:pPr>
        <w:pStyle w:val="973"/>
        <w:ind w:left="3000" w:hanging="420"/>
      </w:pPr>
      <w:rPr>
        <w:rFonts w:ascii="Wingdings" w:hAnsi="Wingdings"/>
      </w:rPr>
    </w:lvl>
    <w:lvl w:ilvl="6">
      <w:start w:val="1"/>
      <w:numFmt w:val="bullet"/>
      <w:isLgl w:val="false"/>
      <w:suff w:val="tab"/>
      <w:lvlText w:val=""/>
      <w:lvlJc w:val="left"/>
      <w:pPr>
        <w:pStyle w:val="973"/>
        <w:ind w:left="3420" w:hanging="420"/>
      </w:pPr>
      <w:rPr>
        <w:rFonts w:ascii="Wingdings" w:hAnsi="Wingdings"/>
      </w:rPr>
    </w:lvl>
    <w:lvl w:ilvl="7">
      <w:start w:val="1"/>
      <w:numFmt w:val="bullet"/>
      <w:isLgl w:val="false"/>
      <w:suff w:val="tab"/>
      <w:lvlText w:val=""/>
      <w:lvlJc w:val="left"/>
      <w:pPr>
        <w:pStyle w:val="973"/>
        <w:ind w:left="3840" w:hanging="420"/>
      </w:pPr>
      <w:rPr>
        <w:rFonts w:ascii="Wingdings" w:hAnsi="Wingdings"/>
      </w:rPr>
    </w:lvl>
    <w:lvl w:ilvl="8">
      <w:start w:val="1"/>
      <w:numFmt w:val="bullet"/>
      <w:isLgl w:val="false"/>
      <w:suff w:val="tab"/>
      <w:lvlText w:val=""/>
      <w:lvlJc w:val="left"/>
      <w:pPr>
        <w:pStyle w:val="973"/>
        <w:ind w:left="4260" w:hanging="420"/>
      </w:pPr>
      <w:rPr>
        <w:rFonts w:ascii="Wingdings" w:hAnsi="Wingdings"/>
      </w:rPr>
    </w:lvl>
  </w:abstractNum>
  <w:num w:numId="1">
    <w:abstractNumId w:val="2"/>
  </w:num>
  <w:num w:numId="2">
    <w:abstractNumId w:val="16"/>
  </w:num>
  <w:num w:numId="3">
    <w:abstractNumId w:val="11"/>
  </w:num>
  <w:num w:numId="4">
    <w:abstractNumId w:val="6"/>
  </w:num>
  <w:num w:numId="5">
    <w:abstractNumId w:val="0"/>
  </w:num>
  <w:num w:numId="6">
    <w:abstractNumId w:val="17"/>
  </w:num>
  <w:num w:numId="7">
    <w:abstractNumId w:val="8"/>
  </w:num>
  <w:num w:numId="8">
    <w:abstractNumId w:val="18"/>
  </w:num>
  <w:num w:numId="9">
    <w:abstractNumId w:val="5"/>
  </w:num>
  <w:num w:numId="10">
    <w:abstractNumId w:val="3"/>
  </w:num>
  <w:num w:numId="11">
    <w:abstractNumId w:val="7"/>
  </w:num>
  <w:num w:numId="12">
    <w:abstractNumId w:val="28"/>
  </w:num>
  <w:num w:numId="13">
    <w:abstractNumId w:val="27"/>
  </w:num>
  <w:num w:numId="14">
    <w:abstractNumId w:val="14"/>
  </w:num>
  <w:num w:numId="15">
    <w:abstractNumId w:val="24"/>
  </w:num>
  <w:num w:numId="16">
    <w:abstractNumId w:val="12"/>
  </w:num>
  <w:num w:numId="17">
    <w:abstractNumId w:val="26"/>
  </w:num>
  <w:num w:numId="18">
    <w:abstractNumId w:val="29"/>
  </w:num>
  <w:num w:numId="19">
    <w:abstractNumId w:val="10"/>
  </w:num>
  <w:num w:numId="20">
    <w:abstractNumId w:val="20"/>
  </w:num>
  <w:num w:numId="21">
    <w:abstractNumId w:val="22"/>
  </w:num>
  <w:num w:numId="22">
    <w:abstractNumId w:val="13"/>
  </w:num>
  <w:num w:numId="23">
    <w:abstractNumId w:val="1"/>
  </w:num>
  <w:num w:numId="24">
    <w:abstractNumId w:val="4"/>
  </w:num>
  <w:num w:numId="25">
    <w:abstractNumId w:val="19"/>
  </w:num>
  <w:num w:numId="26">
    <w:abstractNumId w:val="25"/>
  </w:num>
  <w:num w:numId="27">
    <w:abstractNumId w:val="30"/>
  </w:num>
  <w:num w:numId="28">
    <w:abstractNumId w:val="23"/>
  </w:num>
  <w:num w:numId="29">
    <w:abstractNumId w:val="15"/>
  </w:num>
  <w:num w:numId="30">
    <w:abstractNumId w:val="21"/>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name w:val="Heading 1"/>
    <w:basedOn w:val="973"/>
    <w:next w:val="973"/>
    <w:link w:val="796"/>
    <w:uiPriority w:val="9"/>
    <w:qFormat/>
    <w:pPr>
      <w:keepLines/>
      <w:keepNext/>
      <w:spacing w:before="480" w:after="200"/>
      <w:outlineLvl w:val="0"/>
    </w:pPr>
    <w:rPr>
      <w:rFonts w:ascii="Arial" w:hAnsi="Arial" w:eastAsia="Arial" w:cs="Arial"/>
      <w:sz w:val="40"/>
      <w:szCs w:val="40"/>
    </w:rPr>
  </w:style>
  <w:style w:type="character" w:styleId="796">
    <w:name w:val="Heading 1 Char"/>
    <w:link w:val="795"/>
    <w:uiPriority w:val="9"/>
    <w:rPr>
      <w:rFonts w:ascii="Arial" w:hAnsi="Arial" w:eastAsia="Arial" w:cs="Arial"/>
      <w:sz w:val="40"/>
      <w:szCs w:val="40"/>
    </w:rPr>
  </w:style>
  <w:style w:type="paragraph" w:styleId="797">
    <w:name w:val="Heading 2"/>
    <w:basedOn w:val="973"/>
    <w:next w:val="973"/>
    <w:link w:val="798"/>
    <w:uiPriority w:val="9"/>
    <w:unhideWhenUsed/>
    <w:qFormat/>
    <w:pPr>
      <w:keepLines/>
      <w:keepNext/>
      <w:spacing w:before="360" w:after="200"/>
      <w:outlineLvl w:val="1"/>
    </w:pPr>
    <w:rPr>
      <w:rFonts w:ascii="Arial" w:hAnsi="Arial" w:eastAsia="Arial" w:cs="Arial"/>
      <w:sz w:val="34"/>
    </w:rPr>
  </w:style>
  <w:style w:type="character" w:styleId="798">
    <w:name w:val="Heading 2 Char"/>
    <w:link w:val="797"/>
    <w:uiPriority w:val="9"/>
    <w:rPr>
      <w:rFonts w:ascii="Arial" w:hAnsi="Arial" w:eastAsia="Arial" w:cs="Arial"/>
      <w:sz w:val="34"/>
    </w:rPr>
  </w:style>
  <w:style w:type="paragraph" w:styleId="799">
    <w:name w:val="Heading 3"/>
    <w:basedOn w:val="973"/>
    <w:next w:val="973"/>
    <w:link w:val="800"/>
    <w:uiPriority w:val="9"/>
    <w:unhideWhenUsed/>
    <w:qFormat/>
    <w:pPr>
      <w:keepLines/>
      <w:keepNext/>
      <w:spacing w:before="320" w:after="200"/>
      <w:outlineLvl w:val="2"/>
    </w:pPr>
    <w:rPr>
      <w:rFonts w:ascii="Arial" w:hAnsi="Arial" w:eastAsia="Arial" w:cs="Arial"/>
      <w:sz w:val="30"/>
      <w:szCs w:val="30"/>
    </w:rPr>
  </w:style>
  <w:style w:type="character" w:styleId="800">
    <w:name w:val="Heading 3 Char"/>
    <w:link w:val="799"/>
    <w:uiPriority w:val="9"/>
    <w:rPr>
      <w:rFonts w:ascii="Arial" w:hAnsi="Arial" w:eastAsia="Arial" w:cs="Arial"/>
      <w:sz w:val="30"/>
      <w:szCs w:val="30"/>
    </w:rPr>
  </w:style>
  <w:style w:type="paragraph" w:styleId="801">
    <w:name w:val="Heading 4"/>
    <w:basedOn w:val="973"/>
    <w:next w:val="973"/>
    <w:link w:val="802"/>
    <w:uiPriority w:val="9"/>
    <w:unhideWhenUsed/>
    <w:qFormat/>
    <w:pPr>
      <w:keepLines/>
      <w:keepNext/>
      <w:spacing w:before="320" w:after="200"/>
      <w:outlineLvl w:val="3"/>
    </w:pPr>
    <w:rPr>
      <w:rFonts w:ascii="Arial" w:hAnsi="Arial" w:eastAsia="Arial" w:cs="Arial"/>
      <w:b/>
      <w:bCs/>
      <w:sz w:val="26"/>
      <w:szCs w:val="26"/>
    </w:rPr>
  </w:style>
  <w:style w:type="character" w:styleId="802">
    <w:name w:val="Heading 4 Char"/>
    <w:link w:val="801"/>
    <w:uiPriority w:val="9"/>
    <w:rPr>
      <w:rFonts w:ascii="Arial" w:hAnsi="Arial" w:eastAsia="Arial" w:cs="Arial"/>
      <w:b/>
      <w:bCs/>
      <w:sz w:val="26"/>
      <w:szCs w:val="26"/>
    </w:rPr>
  </w:style>
  <w:style w:type="paragraph" w:styleId="803">
    <w:name w:val="Heading 5"/>
    <w:basedOn w:val="973"/>
    <w:next w:val="973"/>
    <w:link w:val="804"/>
    <w:uiPriority w:val="9"/>
    <w:unhideWhenUsed/>
    <w:qFormat/>
    <w:pPr>
      <w:keepLines/>
      <w:keepNext/>
      <w:spacing w:before="320" w:after="200"/>
      <w:outlineLvl w:val="4"/>
    </w:pPr>
    <w:rPr>
      <w:rFonts w:ascii="Arial" w:hAnsi="Arial" w:eastAsia="Arial" w:cs="Arial"/>
      <w:b/>
      <w:bCs/>
      <w:sz w:val="24"/>
      <w:szCs w:val="24"/>
    </w:rPr>
  </w:style>
  <w:style w:type="character" w:styleId="804">
    <w:name w:val="Heading 5 Char"/>
    <w:link w:val="803"/>
    <w:uiPriority w:val="9"/>
    <w:rPr>
      <w:rFonts w:ascii="Arial" w:hAnsi="Arial" w:eastAsia="Arial" w:cs="Arial"/>
      <w:b/>
      <w:bCs/>
      <w:sz w:val="24"/>
      <w:szCs w:val="24"/>
    </w:rPr>
  </w:style>
  <w:style w:type="paragraph" w:styleId="805">
    <w:name w:val="Heading 6"/>
    <w:basedOn w:val="973"/>
    <w:next w:val="973"/>
    <w:link w:val="806"/>
    <w:uiPriority w:val="9"/>
    <w:unhideWhenUsed/>
    <w:qFormat/>
    <w:pPr>
      <w:keepLines/>
      <w:keepNext/>
      <w:spacing w:before="320" w:after="200"/>
      <w:outlineLvl w:val="5"/>
    </w:pPr>
    <w:rPr>
      <w:rFonts w:ascii="Arial" w:hAnsi="Arial" w:eastAsia="Arial" w:cs="Arial"/>
      <w:b/>
      <w:bCs/>
      <w:sz w:val="22"/>
      <w:szCs w:val="22"/>
    </w:rPr>
  </w:style>
  <w:style w:type="character" w:styleId="806">
    <w:name w:val="Heading 6 Char"/>
    <w:link w:val="805"/>
    <w:uiPriority w:val="9"/>
    <w:rPr>
      <w:rFonts w:ascii="Arial" w:hAnsi="Arial" w:eastAsia="Arial" w:cs="Arial"/>
      <w:b/>
      <w:bCs/>
      <w:sz w:val="22"/>
      <w:szCs w:val="22"/>
    </w:rPr>
  </w:style>
  <w:style w:type="paragraph" w:styleId="807">
    <w:name w:val="Heading 7"/>
    <w:basedOn w:val="973"/>
    <w:next w:val="973"/>
    <w:link w:val="808"/>
    <w:uiPriority w:val="9"/>
    <w:unhideWhenUsed/>
    <w:qFormat/>
    <w:pPr>
      <w:keepLines/>
      <w:keepNext/>
      <w:spacing w:before="320" w:after="200"/>
      <w:outlineLvl w:val="6"/>
    </w:pPr>
    <w:rPr>
      <w:rFonts w:ascii="Arial" w:hAnsi="Arial" w:eastAsia="Arial" w:cs="Arial"/>
      <w:b/>
      <w:bCs/>
      <w:i/>
      <w:iCs/>
      <w:sz w:val="22"/>
      <w:szCs w:val="22"/>
    </w:rPr>
  </w:style>
  <w:style w:type="character" w:styleId="808">
    <w:name w:val="Heading 7 Char"/>
    <w:link w:val="807"/>
    <w:uiPriority w:val="9"/>
    <w:rPr>
      <w:rFonts w:ascii="Arial" w:hAnsi="Arial" w:eastAsia="Arial" w:cs="Arial"/>
      <w:b/>
      <w:bCs/>
      <w:i/>
      <w:iCs/>
      <w:sz w:val="22"/>
      <w:szCs w:val="22"/>
    </w:rPr>
  </w:style>
  <w:style w:type="paragraph" w:styleId="809">
    <w:name w:val="Heading 8"/>
    <w:basedOn w:val="973"/>
    <w:next w:val="973"/>
    <w:link w:val="810"/>
    <w:uiPriority w:val="9"/>
    <w:unhideWhenUsed/>
    <w:qFormat/>
    <w:pPr>
      <w:keepLines/>
      <w:keepNext/>
      <w:spacing w:before="320" w:after="200"/>
      <w:outlineLvl w:val="7"/>
    </w:pPr>
    <w:rPr>
      <w:rFonts w:ascii="Arial" w:hAnsi="Arial" w:eastAsia="Arial" w:cs="Arial"/>
      <w:i/>
      <w:iCs/>
      <w:sz w:val="22"/>
      <w:szCs w:val="22"/>
    </w:rPr>
  </w:style>
  <w:style w:type="character" w:styleId="810">
    <w:name w:val="Heading 8 Char"/>
    <w:link w:val="809"/>
    <w:uiPriority w:val="9"/>
    <w:rPr>
      <w:rFonts w:ascii="Arial" w:hAnsi="Arial" w:eastAsia="Arial" w:cs="Arial"/>
      <w:i/>
      <w:iCs/>
      <w:sz w:val="22"/>
      <w:szCs w:val="22"/>
    </w:rPr>
  </w:style>
  <w:style w:type="paragraph" w:styleId="811">
    <w:name w:val="Heading 9"/>
    <w:basedOn w:val="973"/>
    <w:next w:val="973"/>
    <w:link w:val="812"/>
    <w:uiPriority w:val="9"/>
    <w:unhideWhenUsed/>
    <w:qFormat/>
    <w:pPr>
      <w:keepLines/>
      <w:keepNext/>
      <w:spacing w:before="320" w:after="200"/>
      <w:outlineLvl w:val="8"/>
    </w:pPr>
    <w:rPr>
      <w:rFonts w:ascii="Arial" w:hAnsi="Arial" w:eastAsia="Arial" w:cs="Arial"/>
      <w:i/>
      <w:iCs/>
      <w:sz w:val="21"/>
      <w:szCs w:val="21"/>
    </w:rPr>
  </w:style>
  <w:style w:type="character" w:styleId="812">
    <w:name w:val="Heading 9 Char"/>
    <w:link w:val="811"/>
    <w:uiPriority w:val="9"/>
    <w:rPr>
      <w:rFonts w:ascii="Arial" w:hAnsi="Arial" w:eastAsia="Arial" w:cs="Arial"/>
      <w:i/>
      <w:iCs/>
      <w:sz w:val="21"/>
      <w:szCs w:val="21"/>
    </w:rPr>
  </w:style>
  <w:style w:type="paragraph" w:styleId="813">
    <w:name w:val="List Paragraph"/>
    <w:basedOn w:val="973"/>
    <w:uiPriority w:val="34"/>
    <w:qFormat/>
    <w:pPr>
      <w:contextualSpacing/>
      <w:ind w:left="720"/>
    </w:pPr>
  </w:style>
  <w:style w:type="paragraph" w:styleId="814">
    <w:name w:val="No Spacing"/>
    <w:uiPriority w:val="1"/>
    <w:qFormat/>
    <w:pPr>
      <w:spacing w:before="0" w:after="0" w:line="240" w:lineRule="auto"/>
    </w:pPr>
  </w:style>
  <w:style w:type="paragraph" w:styleId="815">
    <w:name w:val="Title"/>
    <w:basedOn w:val="973"/>
    <w:next w:val="973"/>
    <w:link w:val="816"/>
    <w:uiPriority w:val="10"/>
    <w:qFormat/>
    <w:pPr>
      <w:contextualSpacing/>
      <w:spacing w:before="300" w:after="200"/>
    </w:pPr>
    <w:rPr>
      <w:sz w:val="48"/>
      <w:szCs w:val="48"/>
    </w:rPr>
  </w:style>
  <w:style w:type="character" w:styleId="816">
    <w:name w:val="Title Char"/>
    <w:link w:val="815"/>
    <w:uiPriority w:val="10"/>
    <w:rPr>
      <w:sz w:val="48"/>
      <w:szCs w:val="48"/>
    </w:rPr>
  </w:style>
  <w:style w:type="paragraph" w:styleId="817">
    <w:name w:val="Subtitle"/>
    <w:basedOn w:val="973"/>
    <w:next w:val="973"/>
    <w:link w:val="818"/>
    <w:uiPriority w:val="11"/>
    <w:qFormat/>
    <w:pPr>
      <w:spacing w:before="200" w:after="200"/>
    </w:pPr>
    <w:rPr>
      <w:sz w:val="24"/>
      <w:szCs w:val="24"/>
    </w:rPr>
  </w:style>
  <w:style w:type="character" w:styleId="818">
    <w:name w:val="Subtitle Char"/>
    <w:link w:val="817"/>
    <w:uiPriority w:val="11"/>
    <w:rPr>
      <w:sz w:val="24"/>
      <w:szCs w:val="24"/>
    </w:rPr>
  </w:style>
  <w:style w:type="paragraph" w:styleId="819">
    <w:name w:val="Quote"/>
    <w:basedOn w:val="973"/>
    <w:next w:val="973"/>
    <w:link w:val="820"/>
    <w:uiPriority w:val="29"/>
    <w:qFormat/>
    <w:pPr>
      <w:ind w:left="720" w:right="720"/>
    </w:pPr>
    <w:rPr>
      <w:i/>
    </w:rPr>
  </w:style>
  <w:style w:type="character" w:styleId="820">
    <w:name w:val="Quote Char"/>
    <w:link w:val="819"/>
    <w:uiPriority w:val="29"/>
    <w:rPr>
      <w:i/>
    </w:rPr>
  </w:style>
  <w:style w:type="paragraph" w:styleId="821">
    <w:name w:val="Intense Quote"/>
    <w:basedOn w:val="973"/>
    <w:next w:val="973"/>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name w:val="Intense Quote Char"/>
    <w:link w:val="821"/>
    <w:uiPriority w:val="30"/>
    <w:rPr>
      <w:i/>
    </w:rPr>
  </w:style>
  <w:style w:type="paragraph" w:styleId="823">
    <w:name w:val="Header"/>
    <w:basedOn w:val="973"/>
    <w:link w:val="824"/>
    <w:uiPriority w:val="99"/>
    <w:unhideWhenUsed/>
    <w:pPr>
      <w:spacing w:after="0" w:line="240" w:lineRule="auto"/>
      <w:tabs>
        <w:tab w:val="center" w:pos="7143" w:leader="none"/>
        <w:tab w:val="right" w:pos="14287" w:leader="none"/>
      </w:tabs>
    </w:pPr>
  </w:style>
  <w:style w:type="character" w:styleId="824">
    <w:name w:val="Header Char"/>
    <w:link w:val="823"/>
    <w:uiPriority w:val="99"/>
  </w:style>
  <w:style w:type="paragraph" w:styleId="825">
    <w:name w:val="Footer"/>
    <w:basedOn w:val="973"/>
    <w:link w:val="828"/>
    <w:uiPriority w:val="99"/>
    <w:unhideWhenUsed/>
    <w:pPr>
      <w:spacing w:after="0" w:line="240" w:lineRule="auto"/>
      <w:tabs>
        <w:tab w:val="center" w:pos="7143" w:leader="none"/>
        <w:tab w:val="right" w:pos="14287" w:leader="none"/>
      </w:tabs>
    </w:pPr>
  </w:style>
  <w:style w:type="character" w:styleId="826">
    <w:name w:val="Footer Char"/>
    <w:link w:val="825"/>
    <w:uiPriority w:val="99"/>
  </w:style>
  <w:style w:type="paragraph" w:styleId="827">
    <w:name w:val="Caption"/>
    <w:basedOn w:val="973"/>
    <w:next w:val="973"/>
    <w:uiPriority w:val="35"/>
    <w:semiHidden/>
    <w:unhideWhenUsed/>
    <w:qFormat/>
    <w:pPr>
      <w:spacing w:line="276" w:lineRule="auto"/>
    </w:pPr>
    <w:rPr>
      <w:b/>
      <w:bCs/>
      <w:color w:val="4f81bd" w:themeColor="accent1"/>
      <w:sz w:val="18"/>
      <w:szCs w:val="18"/>
    </w:rPr>
  </w:style>
  <w:style w:type="character" w:styleId="828">
    <w:name w:val="Caption Char"/>
    <w:basedOn w:val="827"/>
    <w:link w:val="825"/>
    <w:uiPriority w:val="99"/>
  </w:style>
  <w:style w:type="table" w:styleId="8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5">
    <w:name w:val="Hyperlink"/>
    <w:uiPriority w:val="99"/>
    <w:unhideWhenUsed/>
    <w:rPr>
      <w:color w:val="0000ff" w:themeColor="hyperlink"/>
      <w:u w:val="single"/>
    </w:rPr>
  </w:style>
  <w:style w:type="paragraph" w:styleId="956">
    <w:name w:val="footnote text"/>
    <w:basedOn w:val="973"/>
    <w:link w:val="957"/>
    <w:uiPriority w:val="99"/>
    <w:semiHidden/>
    <w:unhideWhenUsed/>
    <w:pPr>
      <w:spacing w:after="40" w:line="240" w:lineRule="auto"/>
    </w:pPr>
    <w:rPr>
      <w:sz w:val="18"/>
    </w:rPr>
  </w:style>
  <w:style w:type="character" w:styleId="957">
    <w:name w:val="Footnote Text Char"/>
    <w:link w:val="956"/>
    <w:uiPriority w:val="99"/>
    <w:rPr>
      <w:sz w:val="18"/>
    </w:rPr>
  </w:style>
  <w:style w:type="character" w:styleId="958">
    <w:name w:val="footnote reference"/>
    <w:uiPriority w:val="99"/>
    <w:unhideWhenUsed/>
    <w:rPr>
      <w:vertAlign w:val="superscript"/>
    </w:rPr>
  </w:style>
  <w:style w:type="paragraph" w:styleId="959">
    <w:name w:val="endnote text"/>
    <w:basedOn w:val="973"/>
    <w:link w:val="960"/>
    <w:uiPriority w:val="99"/>
    <w:semiHidden/>
    <w:unhideWhenUsed/>
    <w:pPr>
      <w:spacing w:after="0" w:line="240" w:lineRule="auto"/>
    </w:pPr>
    <w:rPr>
      <w:sz w:val="20"/>
    </w:rPr>
  </w:style>
  <w:style w:type="character" w:styleId="960">
    <w:name w:val="Endnote Text Char"/>
    <w:link w:val="959"/>
    <w:uiPriority w:val="99"/>
    <w:rPr>
      <w:sz w:val="20"/>
    </w:rPr>
  </w:style>
  <w:style w:type="character" w:styleId="961">
    <w:name w:val="endnote reference"/>
    <w:uiPriority w:val="99"/>
    <w:semiHidden/>
    <w:unhideWhenUsed/>
    <w:rPr>
      <w:vertAlign w:val="superscript"/>
    </w:rPr>
  </w:style>
  <w:style w:type="paragraph" w:styleId="962">
    <w:name w:val="toc 1"/>
    <w:basedOn w:val="973"/>
    <w:next w:val="973"/>
    <w:uiPriority w:val="39"/>
    <w:unhideWhenUsed/>
    <w:pPr>
      <w:ind w:left="0" w:right="0" w:firstLine="0"/>
      <w:spacing w:after="57"/>
    </w:pPr>
  </w:style>
  <w:style w:type="paragraph" w:styleId="963">
    <w:name w:val="toc 2"/>
    <w:basedOn w:val="973"/>
    <w:next w:val="973"/>
    <w:uiPriority w:val="39"/>
    <w:unhideWhenUsed/>
    <w:pPr>
      <w:ind w:left="283" w:right="0" w:firstLine="0"/>
      <w:spacing w:after="57"/>
    </w:pPr>
  </w:style>
  <w:style w:type="paragraph" w:styleId="964">
    <w:name w:val="toc 3"/>
    <w:basedOn w:val="973"/>
    <w:next w:val="973"/>
    <w:uiPriority w:val="39"/>
    <w:unhideWhenUsed/>
    <w:pPr>
      <w:ind w:left="567" w:right="0" w:firstLine="0"/>
      <w:spacing w:after="57"/>
    </w:pPr>
  </w:style>
  <w:style w:type="paragraph" w:styleId="965">
    <w:name w:val="toc 4"/>
    <w:basedOn w:val="973"/>
    <w:next w:val="973"/>
    <w:uiPriority w:val="39"/>
    <w:unhideWhenUsed/>
    <w:pPr>
      <w:ind w:left="850" w:right="0" w:firstLine="0"/>
      <w:spacing w:after="57"/>
    </w:pPr>
  </w:style>
  <w:style w:type="paragraph" w:styleId="966">
    <w:name w:val="toc 5"/>
    <w:basedOn w:val="973"/>
    <w:next w:val="973"/>
    <w:uiPriority w:val="39"/>
    <w:unhideWhenUsed/>
    <w:pPr>
      <w:ind w:left="1134" w:right="0" w:firstLine="0"/>
      <w:spacing w:after="57"/>
    </w:pPr>
  </w:style>
  <w:style w:type="paragraph" w:styleId="967">
    <w:name w:val="toc 6"/>
    <w:basedOn w:val="973"/>
    <w:next w:val="973"/>
    <w:uiPriority w:val="39"/>
    <w:unhideWhenUsed/>
    <w:pPr>
      <w:ind w:left="1417" w:right="0" w:firstLine="0"/>
      <w:spacing w:after="57"/>
    </w:pPr>
  </w:style>
  <w:style w:type="paragraph" w:styleId="968">
    <w:name w:val="toc 7"/>
    <w:basedOn w:val="973"/>
    <w:next w:val="973"/>
    <w:uiPriority w:val="39"/>
    <w:unhideWhenUsed/>
    <w:pPr>
      <w:ind w:left="1701" w:right="0" w:firstLine="0"/>
      <w:spacing w:after="57"/>
    </w:pPr>
  </w:style>
  <w:style w:type="paragraph" w:styleId="969">
    <w:name w:val="toc 8"/>
    <w:basedOn w:val="973"/>
    <w:next w:val="973"/>
    <w:uiPriority w:val="39"/>
    <w:unhideWhenUsed/>
    <w:pPr>
      <w:ind w:left="1984" w:right="0" w:firstLine="0"/>
      <w:spacing w:after="57"/>
    </w:pPr>
  </w:style>
  <w:style w:type="paragraph" w:styleId="970">
    <w:name w:val="toc 9"/>
    <w:basedOn w:val="973"/>
    <w:next w:val="973"/>
    <w:uiPriority w:val="39"/>
    <w:unhideWhenUsed/>
    <w:pPr>
      <w:ind w:left="2268" w:right="0" w:firstLine="0"/>
      <w:spacing w:after="57"/>
    </w:pPr>
  </w:style>
  <w:style w:type="paragraph" w:styleId="971">
    <w:name w:val="TOC Heading"/>
    <w:uiPriority w:val="39"/>
    <w:unhideWhenUsed/>
  </w:style>
  <w:style w:type="paragraph" w:styleId="972">
    <w:name w:val="table of figures"/>
    <w:basedOn w:val="973"/>
    <w:next w:val="973"/>
    <w:uiPriority w:val="99"/>
    <w:unhideWhenUsed/>
    <w:pPr>
      <w:spacing w:after="0" w:afterAutospacing="0"/>
    </w:pPr>
  </w:style>
  <w:style w:type="paragraph" w:styleId="973" w:default="1">
    <w:name w:val="Normal"/>
    <w:next w:val="973"/>
    <w:link w:val="973"/>
    <w:qFormat/>
    <w:pPr>
      <w:jc w:val="both"/>
      <w:widowControl w:val="off"/>
    </w:pPr>
    <w:rPr>
      <w:rFonts w:ascii="Calibri" w:hAnsi="Calibri"/>
      <w:sz w:val="21"/>
      <w:szCs w:val="22"/>
      <w:lang w:val="en-US" w:eastAsia="zh-CN" w:bidi="ar-SA"/>
    </w:rPr>
  </w:style>
  <w:style w:type="paragraph" w:styleId="974">
    <w:name w:val="标题 1"/>
    <w:basedOn w:val="973"/>
    <w:next w:val="973"/>
    <w:link w:val="980"/>
    <w:uiPriority w:val="9"/>
    <w:qFormat/>
    <w:pPr>
      <w:keepLines/>
      <w:keepNext/>
      <w:spacing w:before="340" w:after="330" w:line="578" w:lineRule="auto"/>
      <w:outlineLvl w:val="0"/>
    </w:pPr>
    <w:rPr>
      <w:b/>
      <w:bCs/>
      <w:sz w:val="44"/>
      <w:szCs w:val="44"/>
    </w:rPr>
  </w:style>
  <w:style w:type="paragraph" w:styleId="975">
    <w:name w:val="标题 2"/>
    <w:basedOn w:val="973"/>
    <w:next w:val="973"/>
    <w:link w:val="973"/>
    <w:uiPriority w:val="9"/>
    <w:qFormat/>
    <w:pPr>
      <w:keepLines/>
      <w:keepNext/>
      <w:spacing w:before="260" w:after="260" w:line="416" w:lineRule="auto"/>
      <w:outlineLvl w:val="1"/>
    </w:pPr>
    <w:rPr>
      <w:rFonts w:ascii="Cambria" w:hAnsi="Cambria"/>
      <w:b/>
      <w:bCs/>
      <w:sz w:val="32"/>
      <w:szCs w:val="32"/>
    </w:rPr>
  </w:style>
  <w:style w:type="paragraph" w:styleId="976">
    <w:name w:val="标题 3"/>
    <w:basedOn w:val="973"/>
    <w:next w:val="973"/>
    <w:link w:val="973"/>
    <w:qFormat/>
    <w:pPr>
      <w:keepLines/>
      <w:keepNext/>
      <w:spacing w:before="260" w:after="260" w:line="416" w:lineRule="auto"/>
      <w:outlineLvl w:val="2"/>
    </w:pPr>
    <w:rPr>
      <w:rFonts w:ascii="Calibri" w:hAnsi="Calibri" w:eastAsia="宋体" w:cs="Times New Roman"/>
      <w:b/>
      <w:bCs/>
      <w:sz w:val="32"/>
      <w:szCs w:val="32"/>
    </w:rPr>
  </w:style>
  <w:style w:type="paragraph" w:styleId="977">
    <w:name w:val="标题 4"/>
    <w:basedOn w:val="973"/>
    <w:next w:val="973"/>
    <w:link w:val="973"/>
    <w:qFormat/>
    <w:pPr>
      <w:spacing w:before="280" w:after="290" w:line="377" w:lineRule="auto"/>
      <w:outlineLvl w:val="3"/>
    </w:pPr>
    <w:rPr>
      <w:rFonts w:ascii="Arial" w:hAnsi="Arial" w:eastAsia="黑体" w:cs="Times New Roman"/>
      <w:b/>
      <w:bCs/>
      <w:sz w:val="28"/>
      <w:szCs w:val="28"/>
    </w:rPr>
  </w:style>
  <w:style w:type="character" w:styleId="978">
    <w:name w:val="默认段落字体"/>
    <w:next w:val="978"/>
    <w:link w:val="973"/>
    <w:semiHidden/>
  </w:style>
  <w:style w:type="table" w:styleId="979">
    <w:name w:val="普通表格"/>
    <w:next w:val="979"/>
    <w:link w:val="973"/>
    <w:semiHidden/>
    <w:tblPr/>
  </w:style>
  <w:style w:type="character" w:styleId="980">
    <w:name w:val="标题 1 字符"/>
    <w:next w:val="980"/>
    <w:link w:val="974"/>
    <w:uiPriority w:val="9"/>
    <w:rPr>
      <w:b/>
      <w:bCs/>
      <w:sz w:val="44"/>
      <w:szCs w:val="44"/>
    </w:rPr>
  </w:style>
  <w:style w:type="paragraph" w:styleId="981">
    <w:name w:val="正文缩进"/>
    <w:basedOn w:val="973"/>
    <w:next w:val="981"/>
    <w:link w:val="973"/>
    <w:unhideWhenUsed/>
    <w:pPr>
      <w:ind w:firstLine="420"/>
    </w:pPr>
  </w:style>
  <w:style w:type="paragraph" w:styleId="982">
    <w:name w:val="批注文字"/>
    <w:basedOn w:val="973"/>
    <w:next w:val="982"/>
    <w:link w:val="973"/>
    <w:uiPriority w:val="99"/>
    <w:unhideWhenUsed/>
    <w:pPr>
      <w:jc w:val="left"/>
    </w:pPr>
  </w:style>
  <w:style w:type="paragraph" w:styleId="983">
    <w:name w:val="正文文本"/>
    <w:basedOn w:val="973"/>
    <w:next w:val="983"/>
    <w:link w:val="973"/>
    <w:rPr>
      <w:rFonts w:ascii="楷体_GB2312" w:hAnsi="Arial" w:eastAsia="楷体_GB2312"/>
      <w:sz w:val="28"/>
      <w:szCs w:val="28"/>
    </w:rPr>
  </w:style>
  <w:style w:type="paragraph" w:styleId="984">
    <w:name w:val="正文文本缩进"/>
    <w:basedOn w:val="973"/>
    <w:next w:val="984"/>
    <w:link w:val="973"/>
    <w:uiPriority w:val="99"/>
    <w:unhideWhenUsed/>
    <w:qFormat/>
    <w:pPr>
      <w:ind w:left="420"/>
      <w:spacing w:after="120"/>
    </w:pPr>
  </w:style>
  <w:style w:type="paragraph" w:styleId="985">
    <w:name w:val="列表项目符号 2"/>
    <w:basedOn w:val="973"/>
    <w:next w:val="985"/>
    <w:link w:val="973"/>
    <w:pPr>
      <w:numPr>
        <w:ilvl w:val="0"/>
        <w:numId w:val="1"/>
      </w:numPr>
      <w:tabs>
        <w:tab w:val="left" w:pos="780" w:leader="none"/>
      </w:tabs>
    </w:pPr>
  </w:style>
  <w:style w:type="paragraph" w:styleId="986">
    <w:name w:val="索引 4"/>
    <w:next w:val="973"/>
    <w:link w:val="973"/>
    <w:qFormat/>
    <w:pPr>
      <w:ind w:left="600"/>
      <w:jc w:val="both"/>
      <w:widowControl w:val="off"/>
    </w:pPr>
    <w:rPr>
      <w:rFonts w:ascii="Calibri" w:hAnsi="Calibri" w:eastAsia="宋体" w:cs="Times New Roman"/>
      <w:sz w:val="21"/>
      <w:szCs w:val="24"/>
      <w:lang w:val="en-US" w:eastAsia="zh-CN" w:bidi="ar-SA"/>
    </w:rPr>
  </w:style>
  <w:style w:type="paragraph" w:styleId="987">
    <w:name w:val="目录 3"/>
    <w:basedOn w:val="973"/>
    <w:next w:val="973"/>
    <w:link w:val="973"/>
    <w:pPr>
      <w:ind w:left="840"/>
    </w:pPr>
  </w:style>
  <w:style w:type="paragraph" w:styleId="988">
    <w:name w:val="纯文本"/>
    <w:basedOn w:val="973"/>
    <w:next w:val="988"/>
    <w:link w:val="973"/>
    <w:unhideWhenUsed/>
    <w:qFormat/>
    <w:rPr>
      <w:rFonts w:ascii="宋体" w:hAnsi="Courier New"/>
    </w:rPr>
  </w:style>
  <w:style w:type="paragraph" w:styleId="989">
    <w:name w:val="日期"/>
    <w:basedOn w:val="973"/>
    <w:next w:val="973"/>
    <w:link w:val="973"/>
    <w:qFormat/>
    <w:rPr>
      <w:rFonts w:ascii="Times New Roman" w:hAnsi="Times New Roman"/>
      <w:sz w:val="24"/>
      <w:szCs w:val="20"/>
    </w:rPr>
  </w:style>
  <w:style w:type="paragraph" w:styleId="990">
    <w:name w:val="页脚"/>
    <w:basedOn w:val="973"/>
    <w:next w:val="990"/>
    <w:link w:val="973"/>
    <w:uiPriority w:val="99"/>
    <w:unhideWhenUsed/>
    <w:pPr>
      <w:jc w:val="left"/>
      <w:tabs>
        <w:tab w:val="center" w:pos="4153" w:leader="none"/>
        <w:tab w:val="right" w:pos="8306" w:leader="none"/>
      </w:tabs>
    </w:pPr>
    <w:rPr>
      <w:sz w:val="18"/>
      <w:szCs w:val="18"/>
    </w:rPr>
  </w:style>
  <w:style w:type="paragraph" w:styleId="991">
    <w:name w:val="寄信人地址"/>
    <w:basedOn w:val="973"/>
    <w:next w:val="991"/>
    <w:link w:val="973"/>
    <w:uiPriority w:val="99"/>
    <w:unhideWhenUsed/>
    <w:qFormat/>
    <w:rPr>
      <w:rFonts w:ascii="Arial" w:hAnsi="Arial"/>
    </w:rPr>
  </w:style>
  <w:style w:type="paragraph" w:styleId="992">
    <w:name w:val="页眉"/>
    <w:basedOn w:val="973"/>
    <w:next w:val="992"/>
    <w:link w:val="973"/>
    <w:uiPriority w:val="99"/>
    <w:unhideWhenUsed/>
    <w:pPr>
      <w:jc w:val="center"/>
      <w:tabs>
        <w:tab w:val="center" w:pos="4153" w:leader="none"/>
        <w:tab w:val="right" w:pos="8306" w:leader="none"/>
      </w:tabs>
      <w:pBdr>
        <w:bottom w:val="single" w:color="000000" w:sz="6" w:space="1"/>
      </w:pBdr>
    </w:pPr>
    <w:rPr>
      <w:sz w:val="18"/>
      <w:szCs w:val="18"/>
    </w:rPr>
  </w:style>
  <w:style w:type="paragraph" w:styleId="993">
    <w:name w:val="目录 1"/>
    <w:basedOn w:val="973"/>
    <w:next w:val="973"/>
    <w:link w:val="973"/>
    <w:uiPriority w:val="39"/>
    <w:unhideWhenUsed/>
  </w:style>
  <w:style w:type="paragraph" w:styleId="994">
    <w:name w:val="目录 2"/>
    <w:basedOn w:val="973"/>
    <w:next w:val="973"/>
    <w:link w:val="973"/>
    <w:pPr>
      <w:ind w:left="420"/>
    </w:pPr>
  </w:style>
  <w:style w:type="paragraph" w:styleId="995">
    <w:name w:val="目录 9"/>
    <w:basedOn w:val="973"/>
    <w:next w:val="973"/>
    <w:link w:val="973"/>
    <w:uiPriority w:val="39"/>
    <w:unhideWhenUsed/>
    <w:qFormat/>
    <w:pPr>
      <w:ind w:left="1680"/>
      <w:jc w:val="left"/>
    </w:pPr>
    <w:rPr>
      <w:rFonts w:ascii="等线" w:eastAsia="等线"/>
      <w:sz w:val="18"/>
      <w:szCs w:val="18"/>
    </w:rPr>
  </w:style>
  <w:style w:type="paragraph" w:styleId="996">
    <w:name w:val="正文文本 2"/>
    <w:basedOn w:val="973"/>
    <w:next w:val="996"/>
    <w:link w:val="973"/>
    <w:qFormat/>
    <w:pPr>
      <w:spacing w:after="120" w:line="480" w:lineRule="auto"/>
    </w:pPr>
    <w:rPr>
      <w:szCs w:val="24"/>
    </w:rPr>
  </w:style>
  <w:style w:type="paragraph" w:styleId="997">
    <w:name w:val="HTML 预设格式"/>
    <w:basedOn w:val="973"/>
    <w:next w:val="997"/>
    <w:link w:val="973"/>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998">
    <w:name w:val="普通(网站)"/>
    <w:basedOn w:val="973"/>
    <w:next w:val="998"/>
    <w:link w:val="973"/>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999">
    <w:name w:val="正文首行缩进"/>
    <w:basedOn w:val="973"/>
    <w:next w:val="999"/>
    <w:link w:val="973"/>
    <w:unhideWhenUsed/>
    <w:qFormat/>
    <w:pPr>
      <w:ind w:firstLine="420"/>
    </w:pPr>
    <w:rPr>
      <w:rFonts w:ascii="Times New Roman" w:hAnsi="Times New Roman"/>
      <w:sz w:val="18"/>
      <w:szCs w:val="18"/>
    </w:rPr>
  </w:style>
  <w:style w:type="paragraph" w:styleId="1000">
    <w:name w:val="正文首行缩进 2"/>
    <w:basedOn w:val="984"/>
    <w:next w:val="1000"/>
    <w:link w:val="973"/>
    <w:uiPriority w:val="99"/>
    <w:unhideWhenUsed/>
    <w:qFormat/>
    <w:pPr>
      <w:ind w:left="200" w:firstLine="420"/>
    </w:pPr>
  </w:style>
  <w:style w:type="table" w:styleId="1001">
    <w:name w:val="网格型"/>
    <w:basedOn w:val="979"/>
    <w:next w:val="1001"/>
    <w:link w:val="973"/>
    <w:qFormat/>
    <w:pPr>
      <w:jc w:val="both"/>
      <w:widowControl w:val="off"/>
    </w:pPr>
    <w:tblPr/>
  </w:style>
  <w:style w:type="character" w:styleId="1002">
    <w:name w:val="要点"/>
    <w:next w:val="1002"/>
    <w:link w:val="973"/>
    <w:qFormat/>
    <w:rPr>
      <w:b/>
      <w:bCs/>
    </w:rPr>
  </w:style>
  <w:style w:type="character" w:styleId="1003">
    <w:name w:val="页码"/>
    <w:next w:val="1003"/>
    <w:link w:val="973"/>
    <w:qFormat/>
  </w:style>
  <w:style w:type="character" w:styleId="1004">
    <w:name w:val="已访问的超链接"/>
    <w:next w:val="1004"/>
    <w:link w:val="973"/>
    <w:rPr>
      <w:color w:val="444444"/>
      <w:u w:val="none"/>
    </w:rPr>
  </w:style>
  <w:style w:type="character" w:styleId="1005">
    <w:name w:val="强调"/>
    <w:next w:val="1005"/>
    <w:link w:val="973"/>
    <w:qFormat/>
    <w:rPr>
      <w:b w:val="0"/>
      <w:i w:val="0"/>
    </w:rPr>
  </w:style>
  <w:style w:type="character" w:styleId="1006">
    <w:name w:val="HTML 定义"/>
    <w:next w:val="1006"/>
    <w:link w:val="973"/>
    <w:rPr>
      <w:b w:val="0"/>
      <w:i w:val="0"/>
    </w:rPr>
  </w:style>
  <w:style w:type="character" w:styleId="1007">
    <w:name w:val="HTML 缩写"/>
    <w:next w:val="1007"/>
    <w:link w:val="973"/>
  </w:style>
  <w:style w:type="character" w:styleId="1008">
    <w:name w:val="HTML 变量"/>
    <w:next w:val="1008"/>
    <w:link w:val="973"/>
    <w:rPr>
      <w:b w:val="0"/>
      <w:i w:val="0"/>
    </w:rPr>
  </w:style>
  <w:style w:type="character" w:styleId="1009">
    <w:name w:val="超链接"/>
    <w:next w:val="1009"/>
    <w:link w:val="973"/>
    <w:rPr>
      <w:color w:val="444444"/>
      <w:u w:val="none"/>
    </w:rPr>
  </w:style>
  <w:style w:type="character" w:styleId="1010">
    <w:name w:val="HTML 代码"/>
    <w:next w:val="1010"/>
    <w:link w:val="973"/>
    <w:rPr>
      <w:rFonts w:ascii="Courier New" w:hAnsi="Courier New"/>
      <w:b w:val="0"/>
      <w:i w:val="0"/>
      <w:sz w:val="20"/>
    </w:rPr>
  </w:style>
  <w:style w:type="character" w:styleId="1011">
    <w:name w:val="HTML 引文"/>
    <w:next w:val="1011"/>
    <w:link w:val="973"/>
    <w:rPr>
      <w:b w:val="0"/>
      <w:i w:val="0"/>
    </w:rPr>
  </w:style>
  <w:style w:type="paragraph" w:styleId="1012">
    <w:name w:val="Default"/>
    <w:next w:val="973"/>
    <w:link w:val="973"/>
    <w:uiPriority w:val="6"/>
    <w:unhideWhenUsed/>
    <w:qFormat/>
    <w:pPr>
      <w:widowControl w:val="off"/>
    </w:pPr>
    <w:rPr>
      <w:rFonts w:hint="eastAsia" w:ascii="宋体" w:hAnsi="宋体" w:eastAsia="宋体" w:cs="Times New Roman"/>
      <w:color w:val="000000"/>
      <w:sz w:val="24"/>
      <w:szCs w:val="22"/>
      <w:lang w:val="en-US" w:eastAsia="zh-CN" w:bidi="ar-SA"/>
    </w:rPr>
  </w:style>
  <w:style w:type="paragraph" w:styleId="1013">
    <w:name w:val="正文缩进1"/>
    <w:basedOn w:val="973"/>
    <w:next w:val="1013"/>
    <w:link w:val="973"/>
    <w:unhideWhenUsed/>
    <w:qFormat/>
    <w:pPr>
      <w:ind w:firstLine="420"/>
    </w:pPr>
  </w:style>
  <w:style w:type="paragraph" w:styleId="1014">
    <w:name w:val="标题 31"/>
    <w:next w:val="973"/>
    <w:link w:val="973"/>
    <w:qFormat/>
    <w:pPr>
      <w:jc w:val="both"/>
      <w:keepLines/>
      <w:keepNext/>
      <w:spacing w:before="260" w:after="260" w:line="416" w:lineRule="auto"/>
      <w:widowControl w:val="off"/>
      <w:outlineLvl w:val="2"/>
    </w:pPr>
    <w:rPr>
      <w:rFonts w:ascii="Calibri" w:hAnsi="Calibri" w:eastAsia="宋体" w:cs="Times New Roman"/>
      <w:b/>
      <w:bCs/>
      <w:sz w:val="32"/>
      <w:szCs w:val="32"/>
      <w:lang w:val="en-US" w:eastAsia="zh-CN" w:bidi="ar-SA"/>
    </w:rPr>
  </w:style>
  <w:style w:type="character" w:styleId="1015">
    <w:name w:val="要点1"/>
    <w:next w:val="1015"/>
    <w:link w:val="973"/>
    <w:qFormat/>
    <w:rPr>
      <w:rFonts w:ascii="Calibri" w:hAnsi="Calibri"/>
      <w:sz w:val="21"/>
      <w:szCs w:val="22"/>
      <w:lang w:val="en-US" w:eastAsia="zh-CN" w:bidi="ar-SA"/>
    </w:rPr>
  </w:style>
  <w:style w:type="paragraph" w:styleId="1016">
    <w:name w:val="引文目录标题1"/>
    <w:basedOn w:val="973"/>
    <w:next w:val="973"/>
    <w:link w:val="973"/>
    <w:uiPriority w:val="99"/>
    <w:unhideWhenUsed/>
    <w:qFormat/>
    <w:pPr>
      <w:spacing w:before="120"/>
    </w:pPr>
    <w:rPr>
      <w:rFonts w:ascii="Cambria" w:hAnsi="Cambria"/>
      <w:sz w:val="24"/>
    </w:rPr>
  </w:style>
  <w:style w:type="paragraph" w:styleId="1017">
    <w:name w:val="正文1"/>
    <w:basedOn w:val="973"/>
    <w:next w:val="1018"/>
    <w:link w:val="973"/>
    <w:qFormat/>
    <w:pPr>
      <w:jc w:val="left"/>
      <w:spacing w:line="360" w:lineRule="atLeast"/>
    </w:pPr>
    <w:rPr>
      <w:rFonts w:ascii="宋体" w:hAnsi="Calibri" w:eastAsia="宋体" w:cs="Times New Roman"/>
      <w:sz w:val="24"/>
      <w:szCs w:val="20"/>
    </w:rPr>
  </w:style>
  <w:style w:type="paragraph" w:styleId="1018">
    <w:name w:val="正文文本1"/>
    <w:basedOn w:val="1017"/>
    <w:next w:val="1019"/>
    <w:link w:val="973"/>
    <w:qFormat/>
    <w:pPr>
      <w:spacing w:after="120"/>
    </w:pPr>
    <w:rPr>
      <w:lang w:val="en-US" w:eastAsia="en-US"/>
    </w:rPr>
  </w:style>
  <w:style w:type="paragraph" w:styleId="1019">
    <w:name w:val="一级条标题"/>
    <w:basedOn w:val="1020"/>
    <w:next w:val="1021"/>
    <w:link w:val="97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0">
    <w:name w:val="章标题"/>
    <w:next w:val="973"/>
    <w:link w:val="97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21">
    <w:name w:val="段"/>
    <w:basedOn w:val="1017"/>
    <w:next w:val="973"/>
    <w:link w:val="973"/>
    <w:qFormat/>
    <w:pPr>
      <w:ind w:firstLine="200"/>
      <w:widowControl/>
    </w:pPr>
    <w:rPr>
      <w:rFonts w:ascii="宋体"/>
      <w:sz w:val="20"/>
      <w:szCs w:val="20"/>
    </w:rPr>
  </w:style>
  <w:style w:type="character" w:styleId="1022">
    <w:name w:val="hover4"/>
    <w:next w:val="1022"/>
    <w:link w:val="973"/>
    <w:rPr>
      <w:color w:val="0063ba"/>
    </w:rPr>
  </w:style>
  <w:style w:type="character" w:styleId="1023">
    <w:name w:val="active5"/>
    <w:next w:val="1023"/>
    <w:link w:val="973"/>
    <w:rPr>
      <w:color w:val="ffffff"/>
      <w:shd w:val="clear" w:color="auto" w:fill="e22323"/>
    </w:rPr>
  </w:style>
  <w:style w:type="character" w:styleId="1024">
    <w:name w:val="margin_right202"/>
    <w:next w:val="1024"/>
    <w:link w:val="973"/>
  </w:style>
  <w:style w:type="character" w:styleId="1025">
    <w:name w:val="before"/>
    <w:next w:val="1025"/>
    <w:link w:val="973"/>
    <w:rPr>
      <w:shd w:val="clear" w:color="auto" w:fill="e22323"/>
    </w:rPr>
  </w:style>
  <w:style w:type="paragraph" w:styleId="1026">
    <w:name w:val="无间隔"/>
    <w:next w:val="1026"/>
    <w:link w:val="973"/>
    <w:uiPriority w:val="99"/>
    <w:qFormat/>
    <w:pPr>
      <w:jc w:val="both"/>
      <w:widowControl w:val="off"/>
    </w:pPr>
    <w:rPr>
      <w:sz w:val="21"/>
      <w:szCs w:val="21"/>
      <w:lang w:val="en-US" w:eastAsia="zh-CN" w:bidi="ar-SA"/>
    </w:rPr>
  </w:style>
  <w:style w:type="paragraph" w:styleId="1027">
    <w:name w:val="列出段落1"/>
    <w:basedOn w:val="973"/>
    <w:next w:val="1027"/>
    <w:link w:val="973"/>
    <w:qFormat/>
    <w:pPr>
      <w:contextualSpacing/>
      <w:ind w:left="720"/>
      <w:jc w:val="left"/>
      <w:widowControl/>
    </w:pPr>
    <w:rPr>
      <w:sz w:val="24"/>
      <w:szCs w:val="24"/>
      <w:lang w:eastAsia="en-US" w:bidi="en-US"/>
    </w:rPr>
  </w:style>
  <w:style w:type="paragraph" w:styleId="1028">
    <w:name w:val="普通正文"/>
    <w:basedOn w:val="973"/>
    <w:next w:val="1028"/>
    <w:link w:val="973"/>
    <w:pPr>
      <w:ind w:firstLine="480"/>
      <w:jc w:val="left"/>
      <w:spacing w:before="120" w:after="120" w:line="360" w:lineRule="auto"/>
    </w:pPr>
    <w:rPr>
      <w:rFonts w:ascii="Arial" w:hAnsi="Arial"/>
      <w:sz w:val="24"/>
      <w:szCs w:val="24"/>
    </w:rPr>
  </w:style>
  <w:style w:type="paragraph" w:styleId="1029">
    <w:name w:val="列表段落"/>
    <w:basedOn w:val="973"/>
    <w:next w:val="1029"/>
    <w:link w:val="973"/>
    <w:uiPriority w:val="99"/>
    <w:qFormat/>
    <w:pPr>
      <w:ind w:firstLine="420"/>
    </w:pPr>
  </w:style>
  <w:style w:type="paragraph" w:styleId="1030">
    <w:name w:val="Char"/>
    <w:basedOn w:val="973"/>
    <w:next w:val="1030"/>
    <w:link w:val="973"/>
    <w:qFormat/>
    <w:pPr>
      <w:ind w:firstLine="200"/>
      <w:tabs>
        <w:tab w:val="left" w:pos="360" w:leader="none"/>
      </w:tabs>
    </w:pPr>
    <w:rPr>
      <w:rFonts w:ascii="Times New Roman" w:hAnsi="Times New Roman"/>
      <w:sz w:val="28"/>
      <w:szCs w:val="30"/>
    </w:rPr>
  </w:style>
  <w:style w:type="paragraph" w:styleId="1031">
    <w:name w:val="Table Paragraph"/>
    <w:basedOn w:val="973"/>
    <w:next w:val="1031"/>
    <w:link w:val="973"/>
    <w:uiPriority w:val="1"/>
    <w:qFormat/>
    <w:pPr>
      <w:jc w:val="left"/>
    </w:pPr>
    <w:rPr>
      <w:rFonts w:ascii="宋体" w:hAnsi="宋体" w:cs="宋体"/>
      <w:sz w:val="22"/>
      <w:szCs w:val="22"/>
      <w:lang w:val="zh-CN" w:bidi="zh-CN"/>
    </w:rPr>
  </w:style>
  <w:style w:type="paragraph" w:styleId="1032">
    <w:name w:val="目录 11"/>
    <w:basedOn w:val="1033"/>
    <w:next w:val="1017"/>
    <w:link w:val="973"/>
    <w:qFormat/>
    <w:pPr>
      <w:jc w:val="left"/>
      <w:spacing w:after="100" w:line="259" w:lineRule="auto"/>
      <w:widowControl/>
    </w:pPr>
    <w:rPr>
      <w:sz w:val="22"/>
    </w:rPr>
  </w:style>
  <w:style w:type="paragraph" w:styleId="1033">
    <w:name w:val="正文11"/>
    <w:next w:val="1032"/>
    <w:link w:val="973"/>
    <w:qFormat/>
    <w:pPr>
      <w:jc w:val="both"/>
      <w:widowControl w:val="off"/>
    </w:pPr>
    <w:rPr>
      <w:rFonts w:ascii="Calibri" w:hAnsi="Calibri" w:eastAsia="宋体" w:cs="Times New Roman"/>
      <w:sz w:val="21"/>
      <w:szCs w:val="22"/>
      <w:lang w:val="en-US" w:eastAsia="zh-CN" w:bidi="ar-SA"/>
    </w:rPr>
  </w:style>
  <w:style w:type="paragraph" w:styleId="1034">
    <w:name w:val="表内文字居左"/>
    <w:next w:val="1034"/>
    <w:link w:val="973"/>
    <w:pPr>
      <w:jc w:val="both"/>
      <w:widowControl w:val="off"/>
    </w:pPr>
    <w:rPr>
      <w:rFonts w:ascii="Times New Roman" w:hAnsi="Times New Roman" w:eastAsia="宋体" w:cs="Times New Roman"/>
      <w:sz w:val="24"/>
      <w:szCs w:val="24"/>
      <w:lang w:val="en-US" w:eastAsia="zh-CN" w:bidi="ar-SA"/>
    </w:rPr>
  </w:style>
  <w:style w:type="paragraph" w:styleId="1035">
    <w:name w:val="[Normal]"/>
    <w:basedOn w:val="973"/>
    <w:next w:val="1035"/>
    <w:link w:val="973"/>
    <w:qFormat/>
    <w:pPr>
      <w:ind w:firstLine="0"/>
      <w:jc w:val="left"/>
      <w:spacing w:line="240" w:lineRule="auto"/>
    </w:pPr>
    <w:rPr>
      <w:rFonts w:ascii="宋体" w:eastAsia="宋体" w:cs="宋体"/>
      <w:sz w:val="24"/>
    </w:rPr>
  </w:style>
  <w:style w:type="paragraph" w:styleId="1036">
    <w:name w:val="正文首行缩进 21"/>
    <w:basedOn w:val="1037"/>
    <w:next w:val="1036"/>
    <w:link w:val="973"/>
    <w:qFormat/>
    <w:pPr>
      <w:ind w:firstLine="420"/>
    </w:pPr>
  </w:style>
  <w:style w:type="paragraph" w:styleId="1037">
    <w:name w:val="正文文本缩进1"/>
    <w:basedOn w:val="973"/>
    <w:next w:val="1038"/>
    <w:link w:val="973"/>
    <w:uiPriority w:val="99"/>
    <w:qFormat/>
    <w:pPr>
      <w:ind w:left="420"/>
      <w:spacing w:after="120"/>
    </w:pPr>
    <w:rPr>
      <w:sz w:val="20"/>
      <w:szCs w:val="24"/>
    </w:rPr>
  </w:style>
  <w:style w:type="paragraph" w:styleId="1038">
    <w:name w:val="寄信人地址1"/>
    <w:basedOn w:val="973"/>
    <w:next w:val="1038"/>
    <w:link w:val="973"/>
    <w:qFormat/>
    <w:rPr>
      <w:rFonts w:ascii="Arial" w:hAnsi="Arial"/>
    </w:rPr>
  </w:style>
  <w:style w:type="paragraph" w:styleId="1039">
    <w:name w:val="正文文本11"/>
    <w:basedOn w:val="973"/>
    <w:next w:val="1039"/>
    <w:link w:val="973"/>
    <w:qFormat/>
    <w:rPr>
      <w:rFonts w:ascii="楷体_GB2312" w:hAnsi="Arial" w:eastAsia="楷体_GB2312"/>
      <w:sz w:val="28"/>
      <w:szCs w:val="28"/>
    </w:rPr>
  </w:style>
  <w:style w:type="paragraph" w:styleId="1040">
    <w:name w:val="纯文本1"/>
    <w:basedOn w:val="973"/>
    <w:next w:val="1040"/>
    <w:link w:val="973"/>
    <w:unhideWhenUsed/>
    <w:qFormat/>
    <w:rPr>
      <w:rFonts w:ascii="宋体" w:hAnsi="Courier New"/>
    </w:rPr>
  </w:style>
  <w:style w:type="table" w:styleId="1041">
    <w:name w:val="网格型4"/>
    <w:basedOn w:val="1042"/>
    <w:next w:val="1041"/>
    <w:link w:val="973"/>
    <w:uiPriority w:val="59"/>
    <w:qFormat/>
    <w:tblPr/>
  </w:style>
  <w:style w:type="table" w:styleId="1042">
    <w:name w:val="普通表格1"/>
    <w:next w:val="1042"/>
    <w:link w:val="973"/>
    <w:semiHidden/>
    <w:qFormat/>
    <w:tblPr/>
  </w:style>
  <w:style w:type="paragraph" w:styleId="1043">
    <w:name w:val="正文（缩进）"/>
    <w:basedOn w:val="973"/>
    <w:next w:val="1044"/>
    <w:link w:val="973"/>
    <w:qFormat/>
    <w:pPr>
      <w:ind w:firstLine="480"/>
    </w:pPr>
  </w:style>
  <w:style w:type="paragraph" w:styleId="1044">
    <w:name w:val="Char Char Char Char Char Char Char Char Char"/>
    <w:basedOn w:val="973"/>
    <w:next w:val="1045"/>
    <w:link w:val="973"/>
    <w:uiPriority w:val="99"/>
    <w:qFormat/>
    <w:pPr>
      <w:ind w:left="360" w:firstLine="5784"/>
    </w:pPr>
  </w:style>
  <w:style w:type="paragraph" w:styleId="1045">
    <w:name w:val="正文文本 21"/>
    <w:basedOn w:val="973"/>
    <w:next w:val="1046"/>
    <w:link w:val="973"/>
    <w:uiPriority w:val="99"/>
    <w:qFormat/>
    <w:pPr>
      <w:ind w:left="720" w:firstLine="5680"/>
      <w:widowControl/>
    </w:pPr>
  </w:style>
  <w:style w:type="paragraph" w:styleId="1046">
    <w:name w:val="默认段落字体 Para Char Char Char Char Char Char Char"/>
    <w:basedOn w:val="973"/>
    <w:next w:val="1047"/>
    <w:link w:val="973"/>
    <w:uiPriority w:val="99"/>
    <w:qFormat/>
    <w:pPr>
      <w:ind w:firstLine="200"/>
    </w:pPr>
    <w:rPr>
      <w:rFonts w:cs="Arial"/>
    </w:rPr>
  </w:style>
  <w:style w:type="paragraph" w:styleId="1047">
    <w:name w:val="样式 首行缩进:  2 字符"/>
    <w:basedOn w:val="973"/>
    <w:next w:val="1048"/>
    <w:link w:val="973"/>
    <w:uiPriority w:val="99"/>
    <w:qFormat/>
    <w:pPr>
      <w:ind w:left="480" w:firstLine="5856"/>
      <w:spacing w:line="360" w:lineRule="auto"/>
    </w:pPr>
  </w:style>
  <w:style w:type="paragraph" w:styleId="1048">
    <w:name w:val="样式 段后: 0.25 行"/>
    <w:basedOn w:val="973"/>
    <w:next w:val="1049"/>
    <w:link w:val="973"/>
    <w:uiPriority w:val="99"/>
    <w:qFormat/>
    <w:pPr>
      <w:ind w:left="420" w:firstLine="5796"/>
      <w:spacing w:line="300" w:lineRule="auto"/>
      <w:widowControl/>
    </w:pPr>
  </w:style>
  <w:style w:type="paragraph" w:styleId="1049">
    <w:name w:val="正文 New New New New New New New New New New New New New New"/>
    <w:next w:val="995"/>
    <w:link w:val="973"/>
    <w:uiPriority w:val="99"/>
    <w:qFormat/>
    <w:pPr>
      <w:ind w:firstLine="2048"/>
      <w:jc w:val="both"/>
      <w:widowControl w:val="off"/>
    </w:pPr>
    <w:rPr>
      <w:rFonts w:ascii="Calibri" w:hAnsi="Calibri" w:eastAsia="宋体" w:cs="Times New Roman"/>
      <w:lang w:val="en-US" w:eastAsia="zh-CN" w:bidi="ar-SA"/>
    </w:rPr>
  </w:style>
  <w:style w:type="paragraph" w:styleId="1050">
    <w:name w:val="普通(网站)1"/>
    <w:basedOn w:val="973"/>
    <w:next w:val="1050"/>
    <w:link w:val="973"/>
    <w:qFormat/>
    <w:rPr>
      <w:rFonts w:ascii="Times New Roman" w:hAnsi="Times New Roman"/>
      <w:sz w:val="24"/>
    </w:rPr>
  </w:style>
  <w:style w:type="paragraph" w:styleId="1051">
    <w:name w:val="目录 91"/>
    <w:basedOn w:val="973"/>
    <w:next w:val="973"/>
    <w:link w:val="973"/>
    <w:uiPriority w:val="99"/>
    <w:qFormat/>
    <w:pPr>
      <w:ind w:left="3360"/>
    </w:pPr>
  </w:style>
  <w:style w:type="character" w:styleId="1052">
    <w:name w:val="NormalCharacter1"/>
    <w:next w:val="1052"/>
    <w:link w:val="973"/>
    <w:semiHidden/>
    <w:qFormat/>
  </w:style>
  <w:style w:type="character" w:styleId="1053">
    <w:name w:val="font11"/>
    <w:basedOn w:val="978"/>
    <w:next w:val="1053"/>
    <w:link w:val="973"/>
    <w:qFormat/>
    <w:rPr>
      <w:rFonts w:hint="eastAsia" w:ascii="宋体" w:hAnsi="宋体" w:eastAsia="宋体" w:cs="宋体"/>
      <w:b/>
      <w:bCs/>
      <w:color w:val="000000"/>
      <w:sz w:val="21"/>
      <w:szCs w:val="21"/>
      <w:u w:val="none"/>
    </w:rPr>
  </w:style>
  <w:style w:type="character" w:styleId="1054">
    <w:name w:val="font21"/>
    <w:basedOn w:val="978"/>
    <w:next w:val="1054"/>
    <w:link w:val="973"/>
    <w:qFormat/>
    <w:rPr>
      <w:rFonts w:hint="eastAsia" w:ascii="宋体" w:hAnsi="宋体" w:eastAsia="宋体" w:cs="宋体"/>
      <w:color w:val="000000"/>
      <w:sz w:val="21"/>
      <w:szCs w:val="21"/>
      <w:u w:val="none"/>
    </w:rPr>
  </w:style>
  <w:style w:type="paragraph" w:styleId="1055">
    <w:name w:val="标题 21"/>
    <w:basedOn w:val="973"/>
    <w:next w:val="973"/>
    <w:link w:val="973"/>
    <w:qFormat/>
    <w:pPr>
      <w:jc w:val="center"/>
      <w:keepLines/>
      <w:keepNext/>
      <w:spacing w:before="260" w:after="260" w:line="416" w:lineRule="auto"/>
      <w:outlineLvl w:val="1"/>
    </w:pPr>
    <w:rPr>
      <w:rFonts w:ascii="Arial" w:hAnsi="Arial" w:eastAsia="幼圆" w:cs="Arial"/>
      <w:b/>
      <w:bCs/>
      <w:sz w:val="44"/>
      <w:szCs w:val="44"/>
    </w:rPr>
  </w:style>
  <w:style w:type="paragraph" w:styleId="1056">
    <w:name w:val="标题 11"/>
    <w:basedOn w:val="973"/>
    <w:next w:val="973"/>
    <w:link w:val="973"/>
    <w:uiPriority w:val="9"/>
    <w:qFormat/>
    <w:pPr>
      <w:keepLines/>
      <w:keepNext/>
      <w:spacing w:before="340" w:after="330" w:line="578" w:lineRule="auto"/>
      <w:outlineLvl w:val="0"/>
    </w:pPr>
    <w:rPr>
      <w:b/>
      <w:bCs/>
      <w:sz w:val="44"/>
      <w:szCs w:val="44"/>
    </w:rPr>
  </w:style>
  <w:style w:type="character" w:styleId="1057">
    <w:name w:val="font01"/>
    <w:basedOn w:val="978"/>
    <w:next w:val="1057"/>
    <w:link w:val="973"/>
    <w:qFormat/>
    <w:rPr>
      <w:rFonts w:hint="eastAsia" w:ascii="宋体" w:hAnsi="宋体" w:eastAsia="宋体" w:cs="宋体"/>
      <w:color w:val="000000"/>
      <w:sz w:val="22"/>
      <w:szCs w:val="22"/>
      <w:u w:val="none"/>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王美玲</cp:lastModifiedBy>
  <cp:revision>7</cp:revision>
  <dcterms:created xsi:type="dcterms:W3CDTF">2023-04-26T18:39:00Z</dcterms:created>
  <dcterms:modified xsi:type="dcterms:W3CDTF">2026-06-18T00:39:39Z</dcterms:modified>
</cp:coreProperties>
</file>